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E6E46">
      <w:pPr>
        <w:jc w:val="center"/>
        <w:rPr>
          <w:rFonts w:ascii="仿宋_GB2312" w:eastAsia="仿宋_GB2312"/>
          <w:b/>
          <w:color w:val="auto"/>
          <w:sz w:val="36"/>
          <w:szCs w:val="36"/>
        </w:rPr>
      </w:pPr>
      <w:r>
        <w:rPr>
          <w:rFonts w:hint="eastAsia" w:ascii="仿宋_GB2312" w:eastAsia="仿宋_GB2312"/>
          <w:b/>
          <w:color w:val="auto"/>
          <w:sz w:val="36"/>
          <w:szCs w:val="36"/>
        </w:rPr>
        <w:t>化工专业学院学生素质综合测评实施细则</w:t>
      </w:r>
    </w:p>
    <w:p w14:paraId="278150BF">
      <w:pPr>
        <w:rPr>
          <w:rFonts w:ascii="仿宋_GB2312" w:eastAsia="仿宋_GB2312"/>
          <w:color w:val="auto"/>
          <w:sz w:val="30"/>
          <w:szCs w:val="30"/>
        </w:rPr>
      </w:pPr>
    </w:p>
    <w:p w14:paraId="79056D97">
      <w:pPr>
        <w:jc w:val="center"/>
        <w:rPr>
          <w:rFonts w:ascii="黑体" w:hAnsi="黑体" w:eastAsia="黑体"/>
          <w:b/>
          <w:color w:val="auto"/>
          <w:sz w:val="30"/>
          <w:szCs w:val="30"/>
        </w:rPr>
      </w:pPr>
      <w:r>
        <w:rPr>
          <w:rFonts w:hint="eastAsia" w:ascii="黑体" w:hAnsi="黑体" w:eastAsia="黑体"/>
          <w:b/>
          <w:color w:val="auto"/>
          <w:sz w:val="30"/>
          <w:szCs w:val="30"/>
        </w:rPr>
        <w:t>第一章</w:t>
      </w:r>
      <w:r>
        <w:rPr>
          <w:rFonts w:hint="eastAsia" w:ascii="黑体" w:hAnsi="黑体" w:eastAsia="黑体"/>
          <w:b/>
          <w:color w:val="auto"/>
          <w:sz w:val="30"/>
          <w:szCs w:val="30"/>
        </w:rPr>
        <w:tab/>
      </w:r>
      <w:r>
        <w:rPr>
          <w:rFonts w:hint="eastAsia" w:ascii="黑体" w:hAnsi="黑体" w:eastAsia="黑体"/>
          <w:b/>
          <w:color w:val="auto"/>
          <w:sz w:val="30"/>
          <w:szCs w:val="30"/>
        </w:rPr>
        <w:t>总</w:t>
      </w:r>
      <w:r>
        <w:rPr>
          <w:rFonts w:hint="eastAsia" w:ascii="黑体" w:hAnsi="黑体" w:eastAsia="黑体"/>
          <w:b/>
          <w:color w:val="auto"/>
          <w:sz w:val="30"/>
          <w:szCs w:val="30"/>
        </w:rPr>
        <w:tab/>
      </w:r>
      <w:r>
        <w:rPr>
          <w:rFonts w:hint="eastAsia" w:ascii="黑体" w:hAnsi="黑体" w:eastAsia="黑体"/>
          <w:b/>
          <w:color w:val="auto"/>
          <w:sz w:val="30"/>
          <w:szCs w:val="30"/>
        </w:rPr>
        <w:t>则</w:t>
      </w:r>
    </w:p>
    <w:p w14:paraId="69798F98">
      <w:pPr>
        <w:ind w:firstLine="596" w:firstLineChars="198"/>
        <w:rPr>
          <w:rFonts w:ascii="仿宋_GB2312" w:eastAsia="仿宋_GB2312"/>
          <w:color w:val="auto"/>
          <w:sz w:val="30"/>
          <w:szCs w:val="30"/>
        </w:rPr>
      </w:pPr>
      <w:r>
        <w:rPr>
          <w:rFonts w:hint="eastAsia" w:ascii="仿宋_GB2312" w:eastAsia="仿宋_GB2312"/>
          <w:b/>
          <w:color w:val="auto"/>
          <w:sz w:val="30"/>
          <w:szCs w:val="30"/>
        </w:rPr>
        <w:t>第一条</w:t>
      </w:r>
      <w:r>
        <w:rPr>
          <w:rFonts w:hint="eastAsia" w:ascii="仿宋_GB2312" w:eastAsia="仿宋_GB2312"/>
          <w:color w:val="auto"/>
          <w:sz w:val="30"/>
          <w:szCs w:val="30"/>
        </w:rPr>
        <w:t xml:space="preserve"> 为全面贯彻党和国家的教育方针，建设优良的校风和学风，鼓励学生刻苦学习、努力实践、奋发进取，培养德智体美劳全面发展的社会主义建设者和接班人，根据《安庆师范大学学生素质综合测评实施办法（</w:t>
      </w:r>
      <w:r>
        <w:rPr>
          <w:rFonts w:hint="eastAsia" w:ascii="仿宋_GB2312" w:eastAsia="仿宋_GB2312"/>
          <w:color w:val="auto"/>
          <w:sz w:val="30"/>
          <w:szCs w:val="30"/>
          <w:lang w:val="en-US" w:eastAsia="zh-CN"/>
        </w:rPr>
        <w:t>修订</w:t>
      </w:r>
      <w:r>
        <w:rPr>
          <w:rFonts w:hint="eastAsia" w:ascii="仿宋_GB2312" w:eastAsia="仿宋_GB2312"/>
          <w:color w:val="auto"/>
          <w:sz w:val="30"/>
          <w:szCs w:val="30"/>
        </w:rPr>
        <w:t>）》（校政字〔202</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67</w:t>
      </w:r>
      <w:r>
        <w:rPr>
          <w:rFonts w:hint="eastAsia" w:ascii="仿宋_GB2312" w:eastAsia="仿宋_GB2312"/>
          <w:color w:val="auto"/>
          <w:sz w:val="30"/>
          <w:szCs w:val="30"/>
        </w:rPr>
        <w:t>号），结合化工专业学院（以下简称学院）实际，制定本实施细则。</w:t>
      </w:r>
    </w:p>
    <w:p w14:paraId="0D3A444E">
      <w:pPr>
        <w:ind w:firstLine="596" w:firstLineChars="198"/>
        <w:rPr>
          <w:rFonts w:ascii="仿宋_GB2312" w:eastAsia="仿宋_GB2312"/>
          <w:color w:val="auto"/>
          <w:sz w:val="30"/>
          <w:szCs w:val="30"/>
        </w:rPr>
      </w:pPr>
      <w:r>
        <w:rPr>
          <w:rFonts w:hint="eastAsia" w:ascii="仿宋_GB2312" w:eastAsia="仿宋_GB2312"/>
          <w:b/>
          <w:color w:val="auto"/>
          <w:sz w:val="30"/>
          <w:szCs w:val="30"/>
        </w:rPr>
        <w:t>第二条</w:t>
      </w:r>
      <w:r>
        <w:rPr>
          <w:rFonts w:hint="eastAsia" w:ascii="仿宋_GB2312" w:eastAsia="仿宋_GB2312"/>
          <w:color w:val="auto"/>
          <w:sz w:val="30"/>
          <w:szCs w:val="30"/>
        </w:rPr>
        <w:t xml:space="preserve"> 本实施细则适用于学院全日制在校学生，按照其测评学年的德、智、体、美、劳等方面表现，进行综合评价。</w:t>
      </w:r>
    </w:p>
    <w:p w14:paraId="550AB1FE">
      <w:pPr>
        <w:ind w:firstLine="596" w:firstLineChars="198"/>
        <w:rPr>
          <w:rFonts w:ascii="仿宋_GB2312" w:eastAsia="仿宋_GB2312"/>
          <w:color w:val="auto"/>
          <w:sz w:val="30"/>
          <w:szCs w:val="30"/>
        </w:rPr>
      </w:pPr>
      <w:r>
        <w:rPr>
          <w:rFonts w:hint="eastAsia" w:ascii="仿宋_GB2312" w:eastAsia="仿宋_GB2312"/>
          <w:b/>
          <w:color w:val="auto"/>
          <w:sz w:val="30"/>
          <w:szCs w:val="30"/>
        </w:rPr>
        <w:t>第三条</w:t>
      </w:r>
      <w:r>
        <w:rPr>
          <w:rFonts w:hint="eastAsia" w:ascii="仿宋_GB2312" w:eastAsia="仿宋_GB2312"/>
          <w:color w:val="auto"/>
          <w:sz w:val="30"/>
          <w:szCs w:val="30"/>
        </w:rPr>
        <w:t xml:space="preserve"> 综合测评遵循德育为先、学业为本、五育并举和客观公正、民主公开、规范管理的原则，采取定量测评与定性评价相结合、过程测评和结果评价相结合、纪实测评与民主评议相结合的方法。</w:t>
      </w:r>
    </w:p>
    <w:p w14:paraId="4213B537">
      <w:pPr>
        <w:ind w:firstLine="596" w:firstLineChars="198"/>
        <w:rPr>
          <w:rFonts w:ascii="仿宋_GB2312" w:eastAsia="仿宋_GB2312"/>
          <w:color w:val="auto"/>
          <w:sz w:val="30"/>
          <w:szCs w:val="30"/>
        </w:rPr>
      </w:pPr>
      <w:r>
        <w:rPr>
          <w:rFonts w:hint="eastAsia" w:ascii="仿宋_GB2312" w:eastAsia="仿宋_GB2312"/>
          <w:b/>
          <w:color w:val="auto"/>
          <w:sz w:val="30"/>
          <w:szCs w:val="30"/>
        </w:rPr>
        <w:t>第四条</w:t>
      </w:r>
      <w:r>
        <w:rPr>
          <w:rFonts w:hint="eastAsia" w:ascii="仿宋_GB2312" w:eastAsia="仿宋_GB2312"/>
          <w:color w:val="auto"/>
          <w:sz w:val="30"/>
          <w:szCs w:val="30"/>
        </w:rPr>
        <w:t xml:space="preserve"> 综合测评结果作为学生各类奖助学金评定、评优评先、推优入党、推荐就业、毕业鉴定等事项的依据。</w:t>
      </w:r>
    </w:p>
    <w:p w14:paraId="15508C37">
      <w:pPr>
        <w:jc w:val="center"/>
        <w:rPr>
          <w:rFonts w:ascii="黑体" w:hAnsi="黑体" w:eastAsia="黑体"/>
          <w:b/>
          <w:color w:val="auto"/>
          <w:sz w:val="30"/>
          <w:szCs w:val="30"/>
        </w:rPr>
      </w:pPr>
    </w:p>
    <w:p w14:paraId="4A72AAF3">
      <w:pPr>
        <w:jc w:val="center"/>
        <w:rPr>
          <w:rFonts w:ascii="黑体" w:hAnsi="黑体" w:eastAsia="黑体"/>
          <w:b/>
          <w:color w:val="auto"/>
          <w:sz w:val="30"/>
          <w:szCs w:val="30"/>
        </w:rPr>
      </w:pPr>
      <w:r>
        <w:rPr>
          <w:rFonts w:hint="eastAsia" w:ascii="黑体" w:hAnsi="黑体" w:eastAsia="黑体"/>
          <w:b/>
          <w:color w:val="auto"/>
          <w:sz w:val="30"/>
          <w:szCs w:val="30"/>
        </w:rPr>
        <w:t>第二章</w:t>
      </w:r>
      <w:r>
        <w:rPr>
          <w:rFonts w:hint="eastAsia" w:ascii="黑体" w:hAnsi="黑体" w:eastAsia="黑体"/>
          <w:b/>
          <w:color w:val="auto"/>
          <w:sz w:val="30"/>
          <w:szCs w:val="30"/>
        </w:rPr>
        <w:tab/>
      </w:r>
      <w:r>
        <w:rPr>
          <w:rFonts w:hint="eastAsia" w:ascii="黑体" w:hAnsi="黑体" w:eastAsia="黑体"/>
          <w:b/>
          <w:color w:val="auto"/>
          <w:sz w:val="30"/>
          <w:szCs w:val="30"/>
        </w:rPr>
        <w:t>测评项目及评分标准</w:t>
      </w:r>
    </w:p>
    <w:p w14:paraId="620A4C81">
      <w:pPr>
        <w:ind w:firstLine="596" w:firstLineChars="198"/>
        <w:rPr>
          <w:rFonts w:ascii="仿宋_GB2312" w:eastAsia="仿宋_GB2312"/>
          <w:color w:val="auto"/>
          <w:sz w:val="30"/>
          <w:szCs w:val="30"/>
        </w:rPr>
      </w:pPr>
      <w:r>
        <w:rPr>
          <w:rFonts w:hint="eastAsia" w:ascii="仿宋_GB2312" w:eastAsia="仿宋_GB2312"/>
          <w:b/>
          <w:color w:val="auto"/>
          <w:sz w:val="30"/>
          <w:szCs w:val="30"/>
        </w:rPr>
        <w:t>第五条</w:t>
      </w:r>
      <w:r>
        <w:rPr>
          <w:rFonts w:hint="eastAsia" w:ascii="仿宋_GB2312" w:eastAsia="仿宋_GB2312"/>
          <w:color w:val="auto"/>
          <w:sz w:val="30"/>
          <w:szCs w:val="30"/>
        </w:rPr>
        <w:t xml:space="preserve"> 综合测评采取量化方式，对学生学年度的综合表现进行全面评价，主要测评学生德、智、体、美、劳综合素质和就业创 业、创新创造、文体艺术、实践服务等方面的现实表现。分为</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素质、智育素质</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身心素质</w:t>
      </w:r>
      <w:r>
        <w:rPr>
          <w:rFonts w:hint="eastAsia" w:ascii="仿宋_GB2312" w:eastAsia="仿宋_GB2312"/>
          <w:color w:val="auto"/>
          <w:sz w:val="30"/>
          <w:szCs w:val="30"/>
        </w:rPr>
        <w:t>和</w:t>
      </w:r>
      <w:r>
        <w:rPr>
          <w:rFonts w:hint="eastAsia" w:ascii="仿宋_GB2312" w:eastAsia="仿宋_GB2312"/>
          <w:color w:val="auto"/>
          <w:sz w:val="30"/>
          <w:szCs w:val="30"/>
          <w:lang w:val="en-US" w:eastAsia="zh-CN"/>
        </w:rPr>
        <w:t>能力</w:t>
      </w:r>
      <w:r>
        <w:rPr>
          <w:rFonts w:hint="eastAsia" w:ascii="仿宋_GB2312" w:eastAsia="仿宋_GB2312"/>
          <w:color w:val="auto"/>
          <w:sz w:val="30"/>
          <w:szCs w:val="30"/>
        </w:rPr>
        <w:t>素质</w:t>
      </w:r>
      <w:r>
        <w:rPr>
          <w:rFonts w:hint="eastAsia" w:ascii="仿宋_GB2312" w:eastAsia="仿宋_GB2312"/>
          <w:color w:val="auto"/>
          <w:sz w:val="30"/>
          <w:szCs w:val="30"/>
          <w:lang w:val="en-US" w:eastAsia="zh-CN"/>
        </w:rPr>
        <w:t>四</w:t>
      </w:r>
      <w:r>
        <w:rPr>
          <w:rFonts w:hint="eastAsia" w:ascii="仿宋_GB2312" w:eastAsia="仿宋_GB2312"/>
          <w:color w:val="auto"/>
          <w:sz w:val="30"/>
          <w:szCs w:val="30"/>
        </w:rPr>
        <w:t>个模块，总分为 100 分。其中</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 xml:space="preserve">素质占 </w:t>
      </w:r>
      <w:r>
        <w:rPr>
          <w:rFonts w:hint="eastAsia" w:ascii="仿宋_GB2312" w:eastAsia="仿宋_GB2312"/>
          <w:color w:val="auto"/>
          <w:sz w:val="30"/>
          <w:szCs w:val="30"/>
          <w:lang w:val="en-US" w:eastAsia="zh-CN"/>
        </w:rPr>
        <w:t>15</w:t>
      </w:r>
      <w:r>
        <w:rPr>
          <w:rFonts w:hint="eastAsia" w:ascii="仿宋_GB2312" w:eastAsia="仿宋_GB2312"/>
          <w:color w:val="auto"/>
          <w:sz w:val="30"/>
          <w:szCs w:val="30"/>
        </w:rPr>
        <w:t>%，智育素质占 6</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身心</w:t>
      </w:r>
      <w:r>
        <w:rPr>
          <w:rFonts w:hint="eastAsia" w:ascii="仿宋_GB2312" w:eastAsia="仿宋_GB2312"/>
          <w:color w:val="auto"/>
          <w:sz w:val="30"/>
          <w:szCs w:val="30"/>
        </w:rPr>
        <w:t>素质占 1</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能力素质占15%</w:t>
      </w:r>
      <w:r>
        <w:rPr>
          <w:rFonts w:hint="eastAsia" w:ascii="仿宋_GB2312" w:eastAsia="仿宋_GB2312"/>
          <w:color w:val="auto"/>
          <w:sz w:val="30"/>
          <w:szCs w:val="30"/>
        </w:rPr>
        <w:t>。</w:t>
      </w:r>
    </w:p>
    <w:p w14:paraId="4F959EE1">
      <w:pPr>
        <w:rPr>
          <w:rFonts w:ascii="仿宋_GB2312" w:eastAsia="仿宋_GB2312"/>
          <w:color w:val="auto"/>
          <w:sz w:val="30"/>
          <w:szCs w:val="30"/>
        </w:rPr>
      </w:pPr>
      <w:r>
        <w:rPr>
          <w:rFonts w:hint="eastAsia" w:ascii="仿宋_GB2312" w:eastAsia="仿宋_GB2312"/>
          <w:b/>
          <w:color w:val="auto"/>
          <w:sz w:val="30"/>
          <w:szCs w:val="30"/>
        </w:rPr>
        <w:t>第六条</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素质测评</w:t>
      </w:r>
    </w:p>
    <w:p w14:paraId="0F58F5B1">
      <w:pPr>
        <w:ind w:firstLine="602" w:firstLineChars="200"/>
        <w:rPr>
          <w:rFonts w:ascii="仿宋_GB2312" w:hAnsi="黑体" w:eastAsia="仿宋_GB2312"/>
          <w:b/>
          <w:color w:val="auto"/>
          <w:sz w:val="30"/>
          <w:szCs w:val="30"/>
        </w:rPr>
      </w:pPr>
      <w:r>
        <w:rPr>
          <w:rFonts w:hint="eastAsia" w:ascii="仿宋_GB2312" w:hAnsi="黑体" w:eastAsia="仿宋_GB2312"/>
          <w:b/>
          <w:color w:val="auto"/>
          <w:sz w:val="30"/>
          <w:szCs w:val="30"/>
        </w:rPr>
        <w:t>（一）</w:t>
      </w:r>
      <w:r>
        <w:rPr>
          <w:rFonts w:hint="eastAsia" w:ascii="仿宋_GB2312" w:hAnsi="黑体" w:eastAsia="仿宋_GB2312"/>
          <w:b/>
          <w:color w:val="auto"/>
          <w:sz w:val="30"/>
          <w:szCs w:val="30"/>
          <w:lang w:val="en-US" w:eastAsia="zh-CN"/>
        </w:rPr>
        <w:t>德育</w:t>
      </w:r>
      <w:r>
        <w:rPr>
          <w:rFonts w:hint="eastAsia" w:ascii="仿宋_GB2312" w:hAnsi="黑体" w:eastAsia="仿宋_GB2312"/>
          <w:b/>
          <w:color w:val="auto"/>
          <w:sz w:val="30"/>
          <w:szCs w:val="30"/>
        </w:rPr>
        <w:t>素质</w:t>
      </w:r>
    </w:p>
    <w:p w14:paraId="01F2D2BA">
      <w:pPr>
        <w:ind w:firstLine="600" w:firstLineChars="200"/>
        <w:rPr>
          <w:rFonts w:ascii="仿宋_GB2312" w:eastAsia="仿宋_GB2312"/>
          <w:color w:val="auto"/>
          <w:sz w:val="30"/>
          <w:szCs w:val="30"/>
        </w:rPr>
      </w:pPr>
      <w:r>
        <w:rPr>
          <w:rFonts w:hint="eastAsia" w:ascii="仿宋_GB2312" w:eastAsia="仿宋_GB2312"/>
          <w:color w:val="auto"/>
          <w:sz w:val="30"/>
          <w:szCs w:val="30"/>
          <w:u w:val="none"/>
          <w:lang w:val="en-US" w:eastAsia="zh-CN"/>
        </w:rPr>
        <w:t>德育素质测评内容围绕学生的政治表现、道德品质、行为规范、学习态度等方面展开。</w:t>
      </w:r>
      <w:r>
        <w:rPr>
          <w:rFonts w:hint="eastAsia" w:ascii="仿宋_GB2312" w:eastAsia="仿宋_GB2312"/>
          <w:color w:val="auto"/>
          <w:sz w:val="30"/>
          <w:szCs w:val="30"/>
          <w:u w:val="none"/>
        </w:rPr>
        <w:t>测</w:t>
      </w:r>
      <w:r>
        <w:rPr>
          <w:rFonts w:hint="eastAsia" w:ascii="仿宋_GB2312" w:eastAsia="仿宋_GB2312"/>
          <w:color w:val="auto"/>
          <w:sz w:val="30"/>
          <w:szCs w:val="30"/>
        </w:rPr>
        <w:t>评应在学生过程性、写实性评价基础上进行定性和定量评价。</w:t>
      </w:r>
    </w:p>
    <w:p w14:paraId="48DA2BD4">
      <w:pPr>
        <w:ind w:firstLine="596" w:firstLineChars="198"/>
        <w:rPr>
          <w:rFonts w:hint="eastAsia" w:ascii="仿宋_GB2312" w:eastAsia="仿宋_GB2312"/>
          <w:b/>
          <w:color w:val="auto"/>
          <w:sz w:val="30"/>
          <w:szCs w:val="30"/>
          <w:lang w:eastAsia="zh-CN"/>
        </w:rPr>
      </w:pPr>
      <w:r>
        <w:rPr>
          <w:rFonts w:hint="eastAsia" w:ascii="仿宋_GB2312" w:eastAsia="仿宋_GB2312"/>
          <w:b/>
          <w:color w:val="auto"/>
          <w:sz w:val="30"/>
          <w:szCs w:val="30"/>
        </w:rPr>
        <w:t>1、政治</w:t>
      </w:r>
      <w:r>
        <w:rPr>
          <w:rFonts w:hint="eastAsia" w:ascii="仿宋_GB2312" w:eastAsia="仿宋_GB2312"/>
          <w:b/>
          <w:color w:val="auto"/>
          <w:sz w:val="30"/>
          <w:szCs w:val="30"/>
          <w:lang w:val="en-US" w:eastAsia="zh-CN"/>
        </w:rPr>
        <w:t>表现</w:t>
      </w:r>
    </w:p>
    <w:p w14:paraId="77B34CD3">
      <w:pPr>
        <w:ind w:firstLine="600" w:firstLineChars="200"/>
        <w:rPr>
          <w:rFonts w:ascii="仿宋_GB2312" w:eastAsia="仿宋_GB2312"/>
          <w:color w:val="auto"/>
          <w:sz w:val="30"/>
          <w:szCs w:val="30"/>
        </w:rPr>
      </w:pPr>
      <w:r>
        <w:rPr>
          <w:rFonts w:hint="eastAsia" w:ascii="仿宋_GB2312" w:eastAsia="仿宋_GB2312"/>
          <w:color w:val="auto"/>
          <w:sz w:val="30"/>
          <w:szCs w:val="30"/>
        </w:rPr>
        <w:t>（1）努力学习马克思列宁主义、毛泽东思想和中国特色社会主义理论体系，深入学习习近平新时代中国特色社会主义思想，学会运用马克思主义立场、观点和方法认识问题、分析问题、解决问题。</w:t>
      </w:r>
    </w:p>
    <w:p w14:paraId="4C2F1451">
      <w:pPr>
        <w:ind w:firstLine="600" w:firstLineChars="200"/>
        <w:rPr>
          <w:rFonts w:ascii="仿宋_GB2312" w:eastAsia="仿宋_GB2312"/>
          <w:color w:val="auto"/>
          <w:sz w:val="30"/>
          <w:szCs w:val="30"/>
        </w:rPr>
      </w:pPr>
      <w:r>
        <w:rPr>
          <w:rFonts w:hint="eastAsia" w:ascii="仿宋_GB2312" w:eastAsia="仿宋_GB2312"/>
          <w:color w:val="auto"/>
          <w:sz w:val="30"/>
          <w:szCs w:val="30"/>
        </w:rPr>
        <w:t>（2）热爱祖国，拥护中国共产党，牢固树立共产主义远大理想和中国特色社会主义共同理想，坚定中国特色社会主义道路自信、理论自信、制度自信、文化自信，有为实现中华民族伟大复兴中国梦而不懈奋斗的信念和行动。</w:t>
      </w:r>
    </w:p>
    <w:p w14:paraId="4B6EB137">
      <w:pPr>
        <w:ind w:firstLine="600" w:firstLineChars="200"/>
        <w:rPr>
          <w:rFonts w:ascii="仿宋_GB2312" w:eastAsia="仿宋_GB2312"/>
          <w:color w:val="auto"/>
          <w:sz w:val="30"/>
          <w:szCs w:val="30"/>
        </w:rPr>
      </w:pPr>
      <w:r>
        <w:rPr>
          <w:rFonts w:hint="eastAsia" w:ascii="仿宋_GB2312" w:eastAsia="仿宋_GB2312"/>
          <w:color w:val="auto"/>
          <w:sz w:val="30"/>
          <w:szCs w:val="30"/>
        </w:rPr>
        <w:t>（3）自觉践行社会主义核心价值观，弘扬和培育以爱国主义为核心的民族精神和以改革创新为核心的时代精神。</w:t>
      </w:r>
    </w:p>
    <w:p w14:paraId="3707B882">
      <w:pPr>
        <w:ind w:firstLine="596" w:firstLineChars="198"/>
        <w:rPr>
          <w:rFonts w:hint="eastAsia" w:ascii="仿宋_GB2312" w:eastAsia="仿宋_GB2312"/>
          <w:b/>
          <w:color w:val="auto"/>
          <w:sz w:val="30"/>
          <w:szCs w:val="30"/>
          <w:lang w:eastAsia="zh-CN"/>
        </w:rPr>
      </w:pPr>
      <w:r>
        <w:rPr>
          <w:rFonts w:hint="eastAsia" w:ascii="仿宋_GB2312" w:eastAsia="仿宋_GB2312"/>
          <w:b/>
          <w:color w:val="auto"/>
          <w:sz w:val="30"/>
          <w:szCs w:val="30"/>
        </w:rPr>
        <w:t>2、道德</w:t>
      </w:r>
      <w:r>
        <w:rPr>
          <w:rFonts w:hint="eastAsia" w:ascii="仿宋_GB2312" w:eastAsia="仿宋_GB2312"/>
          <w:b/>
          <w:color w:val="auto"/>
          <w:sz w:val="30"/>
          <w:szCs w:val="30"/>
          <w:lang w:val="en-US" w:eastAsia="zh-CN"/>
        </w:rPr>
        <w:t>品质</w:t>
      </w:r>
    </w:p>
    <w:p w14:paraId="7EA687AF">
      <w:pPr>
        <w:ind w:firstLine="600" w:firstLineChars="200"/>
        <w:rPr>
          <w:rFonts w:ascii="仿宋_GB2312" w:eastAsia="仿宋_GB2312"/>
          <w:color w:val="auto"/>
          <w:sz w:val="30"/>
          <w:szCs w:val="30"/>
        </w:rPr>
      </w:pPr>
      <w:r>
        <w:rPr>
          <w:rFonts w:hint="eastAsia" w:ascii="仿宋_GB2312" w:eastAsia="仿宋_GB2312"/>
          <w:color w:val="auto"/>
          <w:sz w:val="30"/>
          <w:szCs w:val="30"/>
        </w:rPr>
        <w:t>（1）遵守宪法、法律和法规，正确行使权利，依法履行义务。遵守公序良俗，遵守各类场所管理公约，遵守学生相关管理规定和校规校纪，具有较强的规矩、规则意识。</w:t>
      </w:r>
    </w:p>
    <w:p w14:paraId="3CDA66DC">
      <w:pPr>
        <w:ind w:firstLine="600" w:firstLineChars="200"/>
        <w:rPr>
          <w:rFonts w:ascii="仿宋_GB2312" w:eastAsia="仿宋_GB2312"/>
          <w:color w:val="auto"/>
          <w:sz w:val="30"/>
          <w:szCs w:val="30"/>
        </w:rPr>
      </w:pPr>
      <w:r>
        <w:rPr>
          <w:rFonts w:hint="eastAsia" w:ascii="仿宋_GB2312" w:eastAsia="仿宋_GB2312"/>
          <w:color w:val="auto"/>
          <w:sz w:val="30"/>
          <w:szCs w:val="30"/>
        </w:rPr>
        <w:t>（2）坚持马克思主义道德观、社会主义道德观，倡导共产主义道德，树立集体观念，能够正确处理国家、集体和个人三者之间的利益关系。坚持公平正义，具有仁爱之心。勇于担当社会责任，具有团队合作精神。</w:t>
      </w:r>
    </w:p>
    <w:p w14:paraId="1AA2C823">
      <w:pPr>
        <w:ind w:firstLine="600" w:firstLineChars="200"/>
        <w:rPr>
          <w:rFonts w:ascii="仿宋_GB2312" w:eastAsia="仿宋_GB2312"/>
          <w:color w:val="auto"/>
          <w:sz w:val="30"/>
          <w:szCs w:val="30"/>
        </w:rPr>
      </w:pPr>
      <w:r>
        <w:rPr>
          <w:rFonts w:hint="eastAsia" w:ascii="仿宋_GB2312" w:eastAsia="仿宋_GB2312"/>
          <w:color w:val="auto"/>
          <w:sz w:val="30"/>
          <w:szCs w:val="30"/>
        </w:rPr>
        <w:t>（3）自觉传承中华传统美德，遵守社会公德、职业道德和家庭美德，自觉加强个人品德修养，恪守学术道德和网络道德，具有良好的道德情操和行为习惯。</w:t>
      </w:r>
    </w:p>
    <w:p w14:paraId="258A565C">
      <w:pPr>
        <w:ind w:firstLine="600" w:firstLineChars="200"/>
        <w:rPr>
          <w:rFonts w:ascii="仿宋_GB2312" w:eastAsia="仿宋_GB2312"/>
          <w:color w:val="auto"/>
          <w:sz w:val="30"/>
          <w:szCs w:val="30"/>
        </w:rPr>
      </w:pPr>
      <w:r>
        <w:rPr>
          <w:rFonts w:hint="eastAsia" w:ascii="仿宋_GB2312" w:eastAsia="仿宋_GB2312"/>
          <w:color w:val="auto"/>
          <w:sz w:val="30"/>
          <w:szCs w:val="30"/>
        </w:rPr>
        <w:t>（4）崇尚文明礼仪，注重仪表形象，积极参加文明校园、文明班级、文明寝室等文明创建活动，具备良好的文明素养。</w:t>
      </w:r>
    </w:p>
    <w:p w14:paraId="68C05772">
      <w:pPr>
        <w:ind w:firstLine="596" w:firstLineChars="198"/>
        <w:rPr>
          <w:rFonts w:hint="eastAsia" w:ascii="仿宋_GB2312" w:eastAsia="仿宋_GB2312"/>
          <w:b/>
          <w:color w:val="auto"/>
          <w:sz w:val="30"/>
          <w:szCs w:val="30"/>
          <w:lang w:eastAsia="zh-CN"/>
        </w:rPr>
      </w:pPr>
      <w:r>
        <w:rPr>
          <w:rFonts w:hint="eastAsia" w:ascii="仿宋_GB2312" w:eastAsia="仿宋_GB2312"/>
          <w:b/>
          <w:color w:val="auto"/>
          <w:sz w:val="30"/>
          <w:szCs w:val="30"/>
          <w:lang w:val="en-US" w:eastAsia="zh-CN"/>
        </w:rPr>
        <w:t>3</w:t>
      </w:r>
      <w:r>
        <w:rPr>
          <w:rFonts w:hint="eastAsia" w:ascii="仿宋_GB2312" w:eastAsia="仿宋_GB2312"/>
          <w:b/>
          <w:color w:val="auto"/>
          <w:sz w:val="30"/>
          <w:szCs w:val="30"/>
        </w:rPr>
        <w:t>、</w:t>
      </w:r>
      <w:r>
        <w:rPr>
          <w:rFonts w:hint="eastAsia" w:ascii="仿宋_GB2312" w:eastAsia="仿宋_GB2312"/>
          <w:b/>
          <w:color w:val="auto"/>
          <w:sz w:val="30"/>
          <w:szCs w:val="30"/>
          <w:lang w:val="en-US" w:eastAsia="zh-CN"/>
        </w:rPr>
        <w:t>行为规范</w:t>
      </w:r>
    </w:p>
    <w:p w14:paraId="28BDBD2A">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（1）遵守宪法、法律和法规，遵守校规校</w:t>
      </w:r>
      <w:r>
        <w:rPr>
          <w:rFonts w:hint="default" w:ascii="仿宋_GB2312" w:eastAsia="仿宋_GB2312"/>
          <w:color w:val="auto"/>
          <w:sz w:val="30"/>
          <w:szCs w:val="30"/>
          <w:lang w:val="en-US" w:eastAsia="zh-CN"/>
        </w:rPr>
        <w:t>纪，正确行使权利，依法履行义务。</w:t>
      </w:r>
    </w:p>
    <w:p w14:paraId="35E14B02">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（2）遵守公序良俗，遵守各类场所管理公约，文明使用互联网。</w:t>
      </w:r>
    </w:p>
    <w:p w14:paraId="2870ABB3">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（3）崇尚文明礼仪，注重仪表形象，积极参加文明校园、文明班级、文明寝室等文明创建活动。</w:t>
      </w:r>
    </w:p>
    <w:p w14:paraId="7B79E082">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（4）尊敬师长，关心同学，具有团结协作精神。</w:t>
      </w:r>
    </w:p>
    <w:p w14:paraId="531643D8">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（5）诚实守信，积极履约践诺，做到知行统一。</w:t>
      </w:r>
    </w:p>
    <w:p w14:paraId="587AD58C">
      <w:pPr>
        <w:ind w:firstLine="600" w:firstLineChars="200"/>
        <w:rPr>
          <w:rFonts w:hint="eastAsia" w:ascii="仿宋_GB2312" w:eastAsia="仿宋_GB2312"/>
          <w:color w:val="auto"/>
          <w:sz w:val="30"/>
          <w:szCs w:val="30"/>
        </w:rPr>
      </w:pPr>
      <w:r>
        <w:rPr>
          <w:rFonts w:hint="default" w:ascii="仿宋_GB2312" w:eastAsia="仿宋_GB2312"/>
          <w:color w:val="auto"/>
          <w:sz w:val="30"/>
          <w:szCs w:val="30"/>
          <w:lang w:val="en-US" w:eastAsia="zh-CN"/>
        </w:rPr>
        <w:t>（6）勤俭节约，生活俭朴，艰苦奋斗。珍惜他人和社会劳动成果，不铺张浪费，不追求超越自身和家庭实际的物质享受</w:t>
      </w:r>
      <w:r>
        <w:rPr>
          <w:rFonts w:hint="eastAsia" w:ascii="仿宋_GB2312" w:eastAsia="仿宋_GB2312"/>
          <w:color w:val="auto"/>
          <w:sz w:val="30"/>
          <w:szCs w:val="30"/>
          <w:lang w:val="en-US" w:eastAsia="zh-CN"/>
        </w:rPr>
        <w:t>。</w:t>
      </w:r>
    </w:p>
    <w:p w14:paraId="3B613A9E">
      <w:pPr>
        <w:ind w:firstLine="596" w:firstLineChars="198"/>
        <w:rPr>
          <w:rFonts w:hint="default" w:ascii="仿宋_GB2312" w:eastAsia="仿宋_GB2312"/>
          <w:b/>
          <w:color w:val="auto"/>
          <w:sz w:val="30"/>
          <w:szCs w:val="30"/>
          <w:lang w:val="en-US" w:eastAsia="zh-CN"/>
        </w:rPr>
      </w:pPr>
      <w:r>
        <w:rPr>
          <w:rFonts w:hint="eastAsia" w:ascii="仿宋_GB2312" w:eastAsia="仿宋_GB2312"/>
          <w:b/>
          <w:color w:val="auto"/>
          <w:sz w:val="30"/>
          <w:szCs w:val="30"/>
          <w:lang w:val="en-US" w:eastAsia="zh-CN"/>
        </w:rPr>
        <w:t>4</w:t>
      </w:r>
      <w:r>
        <w:rPr>
          <w:rFonts w:hint="eastAsia" w:ascii="仿宋_GB2312" w:eastAsia="仿宋_GB2312"/>
          <w:b/>
          <w:color w:val="auto"/>
          <w:sz w:val="30"/>
          <w:szCs w:val="30"/>
        </w:rPr>
        <w:t>、</w:t>
      </w:r>
      <w:r>
        <w:rPr>
          <w:rFonts w:hint="eastAsia" w:ascii="仿宋_GB2312" w:eastAsia="仿宋_GB2312"/>
          <w:b/>
          <w:color w:val="auto"/>
          <w:sz w:val="30"/>
          <w:szCs w:val="30"/>
          <w:lang w:val="en-US" w:eastAsia="zh-CN"/>
        </w:rPr>
        <w:t>学习态度</w:t>
      </w:r>
    </w:p>
    <w:p w14:paraId="3B2FC80B">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（1）刻苦学习，积极实践，严谨求实，勇于创新，努力掌握现代科学文化知识和专业技能。</w:t>
      </w:r>
    </w:p>
    <w:p w14:paraId="135806B0">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（2）遵守考试纪律，遵从学术规范，恪守学术道德，树立学术诚信。</w:t>
      </w:r>
    </w:p>
    <w:p w14:paraId="68A16FD8">
      <w:pPr>
        <w:ind w:firstLine="600" w:firstLineChars="200"/>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t xml:space="preserve">（3）按规定缴纳学费及有关费用，履行获得助学贷款和奖助学金的相应义务。 </w:t>
      </w:r>
    </w:p>
    <w:p w14:paraId="10012E5B">
      <w:pPr>
        <w:ind w:firstLine="602" w:firstLineChars="200"/>
        <w:rPr>
          <w:rFonts w:ascii="仿宋_GB2312" w:hAnsi="黑体" w:eastAsia="仿宋_GB2312"/>
          <w:b/>
          <w:color w:val="auto"/>
          <w:sz w:val="30"/>
          <w:szCs w:val="30"/>
        </w:rPr>
      </w:pPr>
      <w:r>
        <w:rPr>
          <w:rFonts w:hint="eastAsia" w:ascii="仿宋_GB2312" w:hAnsi="黑体" w:eastAsia="仿宋_GB2312"/>
          <w:b/>
          <w:color w:val="auto"/>
          <w:sz w:val="30"/>
          <w:szCs w:val="30"/>
        </w:rPr>
        <w:t>（二）积分评分</w:t>
      </w:r>
    </w:p>
    <w:p w14:paraId="4C4CEB2C">
      <w:pPr>
        <w:ind w:firstLine="600" w:firstLineChars="200"/>
        <w:rPr>
          <w:rFonts w:ascii="仿宋_GB2312" w:eastAsia="仿宋_GB2312"/>
          <w:color w:val="auto"/>
          <w:sz w:val="30"/>
          <w:szCs w:val="30"/>
        </w:rPr>
      </w:pPr>
      <w:r>
        <w:rPr>
          <w:rFonts w:hint="eastAsia" w:ascii="仿宋_GB2312" w:eastAsia="仿宋_GB2312"/>
          <w:color w:val="auto"/>
          <w:sz w:val="30"/>
          <w:szCs w:val="30"/>
        </w:rPr>
        <w:t>1、根据学生的现实表现分别从</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素质的</w:t>
      </w:r>
      <w:r>
        <w:rPr>
          <w:rFonts w:hint="eastAsia" w:ascii="仿宋_GB2312" w:eastAsia="仿宋_GB2312"/>
          <w:color w:val="auto"/>
          <w:sz w:val="30"/>
          <w:szCs w:val="30"/>
          <w:lang w:val="en-US" w:eastAsia="zh-CN"/>
        </w:rPr>
        <w:t>四</w:t>
      </w:r>
      <w:r>
        <w:rPr>
          <w:rFonts w:hint="eastAsia" w:ascii="仿宋_GB2312" w:eastAsia="仿宋_GB2312"/>
          <w:color w:val="auto"/>
          <w:sz w:val="30"/>
          <w:szCs w:val="30"/>
        </w:rPr>
        <w:t>个模块进行评分， 每个方面满分 2</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 xml:space="preserve"> 分，评分按优、良、中、及格、差五级计分，优：</w:t>
      </w:r>
      <w:r>
        <w:rPr>
          <w:rFonts w:hint="eastAsia" w:ascii="仿宋_GB2312" w:eastAsia="仿宋_GB2312"/>
          <w:color w:val="auto"/>
          <w:sz w:val="30"/>
          <w:szCs w:val="30"/>
          <w:lang w:val="en-US" w:eastAsia="zh-CN"/>
        </w:rPr>
        <w:t>23</w:t>
      </w:r>
      <w:r>
        <w:rPr>
          <w:rFonts w:hint="eastAsia" w:ascii="仿宋_GB2312" w:eastAsia="仿宋_GB2312"/>
          <w:color w:val="auto"/>
          <w:sz w:val="30"/>
          <w:szCs w:val="30"/>
        </w:rPr>
        <w:t>-2</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分、良：</w:t>
      </w:r>
      <w:r>
        <w:rPr>
          <w:rFonts w:hint="eastAsia" w:ascii="仿宋_GB2312" w:eastAsia="仿宋_GB2312"/>
          <w:color w:val="auto"/>
          <w:sz w:val="30"/>
          <w:szCs w:val="30"/>
          <w:lang w:val="en-US" w:eastAsia="zh-CN"/>
        </w:rPr>
        <w:t>20</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22</w:t>
      </w:r>
      <w:r>
        <w:rPr>
          <w:rFonts w:hint="eastAsia" w:ascii="仿宋_GB2312" w:eastAsia="仿宋_GB2312"/>
          <w:color w:val="auto"/>
          <w:sz w:val="30"/>
          <w:szCs w:val="30"/>
        </w:rPr>
        <w:t xml:space="preserve"> 分、中：</w:t>
      </w:r>
      <w:r>
        <w:rPr>
          <w:rFonts w:hint="eastAsia" w:ascii="仿宋_GB2312" w:eastAsia="仿宋_GB2312"/>
          <w:color w:val="auto"/>
          <w:sz w:val="30"/>
          <w:szCs w:val="30"/>
          <w:lang w:val="en-US" w:eastAsia="zh-CN"/>
        </w:rPr>
        <w:t>17</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19</w:t>
      </w:r>
      <w:r>
        <w:rPr>
          <w:rFonts w:hint="eastAsia" w:ascii="仿宋_GB2312" w:eastAsia="仿宋_GB2312"/>
          <w:color w:val="auto"/>
          <w:sz w:val="30"/>
          <w:szCs w:val="30"/>
        </w:rPr>
        <w:t xml:space="preserve"> 分、及格：</w:t>
      </w:r>
      <w:r>
        <w:rPr>
          <w:rFonts w:hint="eastAsia" w:ascii="仿宋_GB2312" w:eastAsia="仿宋_GB2312"/>
          <w:color w:val="auto"/>
          <w:sz w:val="30"/>
          <w:szCs w:val="30"/>
          <w:lang w:val="en-US" w:eastAsia="zh-CN"/>
        </w:rPr>
        <w:t>14</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16</w:t>
      </w:r>
      <w:r>
        <w:rPr>
          <w:rFonts w:hint="eastAsia" w:ascii="仿宋_GB2312" w:eastAsia="仿宋_GB2312"/>
          <w:color w:val="auto"/>
          <w:sz w:val="30"/>
          <w:szCs w:val="30"/>
        </w:rPr>
        <w:t xml:space="preserve"> 分、差：1</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 xml:space="preserve"> 分以下（不含 1</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 xml:space="preserve"> 分）。</w:t>
      </w:r>
      <w:r>
        <w:rPr>
          <w:rFonts w:hint="eastAsia" w:ascii="仿宋_GB2312" w:eastAsia="仿宋_GB2312"/>
          <w:color w:val="auto"/>
          <w:sz w:val="30"/>
          <w:szCs w:val="30"/>
          <w:lang w:val="en-US" w:eastAsia="zh-CN"/>
        </w:rPr>
        <w:t>四</w:t>
      </w:r>
      <w:r>
        <w:rPr>
          <w:rFonts w:hint="eastAsia" w:ascii="仿宋_GB2312" w:eastAsia="仿宋_GB2312"/>
          <w:color w:val="auto"/>
          <w:sz w:val="30"/>
          <w:szCs w:val="30"/>
        </w:rPr>
        <w:t>个模块满分为 100 分。</w:t>
      </w:r>
    </w:p>
    <w:p w14:paraId="6A0C34E7">
      <w:pPr>
        <w:ind w:firstLine="600" w:firstLineChars="200"/>
        <w:rPr>
          <w:rFonts w:ascii="仿宋_GB2312" w:eastAsia="仿宋_GB2312"/>
          <w:color w:val="auto"/>
          <w:sz w:val="30"/>
          <w:szCs w:val="30"/>
        </w:rPr>
      </w:pPr>
      <w:r>
        <w:rPr>
          <w:rFonts w:hint="eastAsia" w:ascii="仿宋_GB2312" w:eastAsia="仿宋_GB2312"/>
          <w:color w:val="auto"/>
          <w:sz w:val="30"/>
          <w:szCs w:val="30"/>
        </w:rPr>
        <w:t>2、</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素质评分采用学生自评和班级评议相结合的方式进行， 学生自评和班级评议权重分别为 20%（20 分）、80%（80 分）。</w:t>
      </w:r>
    </w:p>
    <w:p w14:paraId="556EB521">
      <w:pPr>
        <w:ind w:firstLine="600" w:firstLineChars="200"/>
        <w:rPr>
          <w:rFonts w:ascii="仿宋_GB2312" w:eastAsia="仿宋_GB2312"/>
          <w:color w:val="auto"/>
          <w:sz w:val="30"/>
          <w:szCs w:val="30"/>
        </w:rPr>
      </w:pPr>
      <w:r>
        <w:rPr>
          <w:rFonts w:hint="eastAsia" w:ascii="仿宋_GB2312" w:eastAsia="仿宋_GB2312"/>
          <w:color w:val="auto"/>
          <w:sz w:val="30"/>
          <w:szCs w:val="30"/>
        </w:rPr>
        <w:t>①全班同学对照上述</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素质各模块标准和指标进行自评，据实填写得分依据并提供相关支撑材料。</w:t>
      </w:r>
    </w:p>
    <w:p w14:paraId="7FDB749F">
      <w:pPr>
        <w:ind w:firstLine="600" w:firstLineChars="200"/>
        <w:rPr>
          <w:rFonts w:ascii="仿宋_GB2312" w:eastAsia="仿宋_GB2312"/>
          <w:color w:val="auto"/>
          <w:sz w:val="30"/>
          <w:szCs w:val="30"/>
        </w:rPr>
      </w:pPr>
      <w:r>
        <w:rPr>
          <w:rFonts w:hint="eastAsia" w:ascii="仿宋_GB2312" w:eastAsia="仿宋_GB2312"/>
          <w:color w:val="auto"/>
          <w:sz w:val="30"/>
          <w:szCs w:val="30"/>
        </w:rPr>
        <w:t>②班级评议小组在辅导员主持下按测评指标和评分标准对全班学生进行</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素质评分。评分要根据每位同学的日常表现，结合相关部门以及老师和班级同学提供的材料和意见，给予每位同学鉴定意见和具体得分。</w:t>
      </w:r>
    </w:p>
    <w:p w14:paraId="6EC81795">
      <w:pPr>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素质成绩加分适用条件和标准。</w:t>
      </w:r>
    </w:p>
    <w:p w14:paraId="69BB1E03">
      <w:pPr>
        <w:ind w:firstLine="600" w:firstLineChars="200"/>
        <w:rPr>
          <w:rFonts w:ascii="仿宋_GB2312" w:eastAsia="仿宋_GB2312"/>
          <w:color w:val="auto"/>
          <w:sz w:val="30"/>
          <w:szCs w:val="30"/>
        </w:rPr>
      </w:pPr>
      <w:r>
        <w:rPr>
          <w:rFonts w:hint="eastAsia" w:ascii="仿宋_GB2312" w:eastAsia="仿宋_GB2312"/>
          <w:color w:val="auto"/>
          <w:sz w:val="30"/>
          <w:szCs w:val="30"/>
        </w:rPr>
        <w:t>具有爱国爱党、见义勇为、助人为乐、自立自强、拾金不昧、孝老爱亲等实际行动，且获得重要荣誉表彰或产生积极影响；或在脱贫攻坚、抢险救灾、志愿服务、文体艺术、劳动实践等方面有突出事迹，受到国家、省（部）、市、学校、学院表彰或通报表扬或媒体宣传的，视事迹和影响力酌情加分。在上一学年综合测评中获得荣誉称号不加分。</w:t>
      </w:r>
    </w:p>
    <w:p w14:paraId="405543FE">
      <w:pPr>
        <w:ind w:firstLine="600" w:firstLineChars="200"/>
        <w:rPr>
          <w:rFonts w:ascii="仿宋_GB2312" w:eastAsia="仿宋_GB2312"/>
          <w:color w:val="auto"/>
          <w:sz w:val="30"/>
          <w:szCs w:val="30"/>
        </w:rPr>
      </w:pPr>
      <w:r>
        <w:rPr>
          <w:rFonts w:hint="eastAsia" w:ascii="仿宋_GB2312" w:eastAsia="仿宋_GB2312"/>
          <w:color w:val="auto"/>
          <w:sz w:val="30"/>
          <w:szCs w:val="30"/>
        </w:rPr>
        <w:t>4、</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素质成绩减分适用情况和标准。</w:t>
      </w:r>
    </w:p>
    <w:p w14:paraId="2723B1E2">
      <w:pPr>
        <w:ind w:firstLine="600" w:firstLineChars="200"/>
        <w:rPr>
          <w:rFonts w:ascii="仿宋_GB2312" w:eastAsia="仿宋_GB2312"/>
          <w:color w:val="auto"/>
          <w:sz w:val="30"/>
          <w:szCs w:val="30"/>
        </w:rPr>
      </w:pPr>
      <w:r>
        <w:rPr>
          <w:rFonts w:hint="eastAsia" w:ascii="仿宋_GB2312" w:eastAsia="仿宋_GB2312"/>
          <w:color w:val="auto"/>
          <w:sz w:val="30"/>
          <w:szCs w:val="30"/>
        </w:rPr>
        <w:t>（1）凡参与有损于国家安全、荣誉、利益和危害社会秩序活动的，参加非法组织或其它非法活动的，经查实，除按有关规定依 法处理外，实行一票否决，</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素质按 0 分计。</w:t>
      </w:r>
    </w:p>
    <w:p w14:paraId="7B82A3C1">
      <w:pPr>
        <w:ind w:firstLine="600" w:firstLineChars="200"/>
        <w:rPr>
          <w:rFonts w:ascii="仿宋_GB2312" w:eastAsia="仿宋_GB2312"/>
          <w:color w:val="auto"/>
          <w:sz w:val="30"/>
          <w:szCs w:val="30"/>
        </w:rPr>
      </w:pPr>
      <w:r>
        <w:rPr>
          <w:rFonts w:hint="eastAsia" w:ascii="仿宋_GB2312" w:eastAsia="仿宋_GB2312"/>
          <w:color w:val="auto"/>
          <w:sz w:val="30"/>
          <w:szCs w:val="30"/>
        </w:rPr>
        <w:t>（2）在家庭经济困难学生认定、综合测评、奖助学金评审和评优评先等工作中有弄虚作假行为，造成负面影响和不良后果的， 以及有其它不诚信行为的，经查实，视情节减 10-2</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 xml:space="preserve"> 分。</w:t>
      </w:r>
    </w:p>
    <w:p w14:paraId="04DE9583">
      <w:pPr>
        <w:ind w:firstLine="600" w:firstLineChars="200"/>
        <w:rPr>
          <w:rFonts w:ascii="仿宋_GB2312" w:eastAsia="仿宋_GB2312"/>
          <w:color w:val="auto"/>
          <w:sz w:val="30"/>
          <w:szCs w:val="30"/>
        </w:rPr>
      </w:pPr>
      <w:r>
        <w:rPr>
          <w:rFonts w:hint="eastAsia" w:ascii="仿宋_GB2312" w:eastAsia="仿宋_GB2312"/>
          <w:color w:val="auto"/>
          <w:sz w:val="30"/>
          <w:szCs w:val="30"/>
        </w:rPr>
        <w:t>（3）凡违反校规校纪，受到学校通报批评、警告、严重警告、记过和留校察看者，每次分别减 8 分、11 分、14 分、17 分、2</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 xml:space="preserve"> 分。情节轻微未受学校处理的，每次减 5 分。</w:t>
      </w:r>
    </w:p>
    <w:p w14:paraId="4FBA93DD">
      <w:pPr>
        <w:ind w:firstLine="600" w:firstLineChars="200"/>
        <w:rPr>
          <w:rFonts w:ascii="仿宋_GB2312" w:eastAsia="仿宋_GB2312"/>
          <w:color w:val="auto"/>
          <w:sz w:val="30"/>
          <w:szCs w:val="30"/>
        </w:rPr>
      </w:pPr>
      <w:r>
        <w:rPr>
          <w:rFonts w:hint="eastAsia" w:ascii="仿宋_GB2312" w:eastAsia="仿宋_GB2312"/>
          <w:color w:val="auto"/>
          <w:sz w:val="30"/>
          <w:szCs w:val="30"/>
        </w:rPr>
        <w:t>（4）凡不遵守学习纪律，旷课扣 5 分/节，迟到、早退扣 3 分/次，课堂睡觉、玩手机 3 分/次，多次者累计扣分。</w:t>
      </w:r>
    </w:p>
    <w:p w14:paraId="14A837AD">
      <w:pPr>
        <w:ind w:firstLine="600" w:firstLineChars="200"/>
        <w:rPr>
          <w:rFonts w:ascii="仿宋_GB2312" w:eastAsia="仿宋_GB2312"/>
          <w:color w:val="auto"/>
          <w:sz w:val="30"/>
          <w:szCs w:val="30"/>
        </w:rPr>
      </w:pPr>
      <w:r>
        <w:rPr>
          <w:rFonts w:hint="eastAsia" w:ascii="仿宋_GB2312" w:eastAsia="仿宋_GB2312"/>
          <w:color w:val="auto"/>
          <w:sz w:val="30"/>
          <w:szCs w:val="30"/>
        </w:rPr>
        <w:t>（5）所在宿舍在学校宿舍检查评比中，宿舍卫生和安全情况被评为不达标，宿舍成员每人扣 8 分/次。</w:t>
      </w:r>
    </w:p>
    <w:p w14:paraId="5EC34C67">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）无故不参加劳动实践或劳动实践课成绩不达标者分别扣10 分、8 分。</w:t>
      </w:r>
    </w:p>
    <w:p w14:paraId="5AC8A59D">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）无故缺席学校、学院组织的活动，扣 3 分/次。</w:t>
      </w:r>
    </w:p>
    <w:p w14:paraId="487AC459">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）学期开学或节假日返校，无故不按照学校规定时间返校报到、注册或办理相关手续者，视情节轻重扣 4-8 分/次。</w:t>
      </w:r>
    </w:p>
    <w:p w14:paraId="051AB6E1">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9</w:t>
      </w:r>
      <w:r>
        <w:rPr>
          <w:rFonts w:hint="eastAsia" w:ascii="仿宋_GB2312" w:eastAsia="仿宋_GB2312"/>
          <w:color w:val="auto"/>
          <w:sz w:val="30"/>
          <w:szCs w:val="30"/>
        </w:rPr>
        <w:t>）未经请假夜不归宿，扣 5 分/次；私自在外住宿者，按校纪校规处理。</w:t>
      </w:r>
    </w:p>
    <w:p w14:paraId="11B38A03">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）有失社会公德、扰乱公共秩序、违背校园文明的言行，</w:t>
      </w:r>
    </w:p>
    <w:p w14:paraId="12A33023">
      <w:pPr>
        <w:rPr>
          <w:rFonts w:ascii="仿宋_GB2312" w:eastAsia="仿宋_GB2312"/>
          <w:color w:val="auto"/>
          <w:sz w:val="30"/>
          <w:szCs w:val="30"/>
        </w:rPr>
      </w:pPr>
      <w:r>
        <w:rPr>
          <w:rFonts w:hint="eastAsia" w:ascii="仿宋_GB2312" w:eastAsia="仿宋_GB2312"/>
          <w:color w:val="auto"/>
          <w:sz w:val="30"/>
          <w:szCs w:val="30"/>
        </w:rPr>
        <w:t xml:space="preserve"> 不听教职工或管理人员劝阻，尚不够纪律处分的，扣 2 分/次。</w:t>
      </w:r>
    </w:p>
    <w:p w14:paraId="6147FAA9">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）不讲诚信，通过提供虚假信息或者其他造假行为为自己谋利的，一经查实，视情节轻重扣 6-15 分/次。</w:t>
      </w:r>
    </w:p>
    <w:p w14:paraId="5BB8141C">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）参加非法组织活动者，视情节轻重扣 10-20 分。</w:t>
      </w:r>
    </w:p>
    <w:p w14:paraId="1CE24BA5">
      <w:pPr>
        <w:ind w:firstLine="600" w:firstLineChars="200"/>
        <w:rPr>
          <w:rFonts w:ascii="仿宋_GB2312" w:eastAsia="仿宋_GB2312"/>
          <w:color w:val="auto"/>
          <w:sz w:val="30"/>
          <w:szCs w:val="30"/>
        </w:rPr>
      </w:pPr>
      <w:r>
        <w:rPr>
          <w:rFonts w:hint="eastAsia" w:ascii="仿宋_GB2312" w:eastAsia="仿宋_GB2312"/>
          <w:color w:val="auto"/>
          <w:sz w:val="30"/>
          <w:szCs w:val="30"/>
        </w:rPr>
        <w:t>5、</w:t>
      </w:r>
      <w:r>
        <w:rPr>
          <w:rFonts w:hint="eastAsia" w:ascii="仿宋_GB2312" w:eastAsia="仿宋_GB2312"/>
          <w:color w:val="auto"/>
          <w:sz w:val="30"/>
          <w:szCs w:val="30"/>
          <w:lang w:val="en-US" w:eastAsia="zh-CN"/>
        </w:rPr>
        <w:t>德育</w:t>
      </w:r>
      <w:r>
        <w:rPr>
          <w:rFonts w:hint="eastAsia" w:ascii="仿宋_GB2312" w:eastAsia="仿宋_GB2312"/>
          <w:color w:val="auto"/>
          <w:sz w:val="30"/>
          <w:szCs w:val="30"/>
        </w:rPr>
        <w:t>素质成绩=测评分＋加分－减分。超过 100 分的，按 100分计；低于 0 分的，按 0 分计。</w:t>
      </w:r>
    </w:p>
    <w:p w14:paraId="2741B35C">
      <w:pPr>
        <w:ind w:firstLine="600" w:firstLineChars="200"/>
        <w:rPr>
          <w:rFonts w:ascii="仿宋_GB2312" w:eastAsia="仿宋_GB2312"/>
          <w:color w:val="auto"/>
          <w:sz w:val="30"/>
          <w:szCs w:val="30"/>
        </w:rPr>
      </w:pPr>
      <w:r>
        <w:rPr>
          <w:rFonts w:hint="eastAsia" w:ascii="仿宋_GB2312" w:eastAsia="仿宋_GB2312"/>
          <w:color w:val="auto"/>
          <w:sz w:val="30"/>
          <w:szCs w:val="30"/>
        </w:rPr>
        <w:t>6、具体加减分项目和标准。</w:t>
      </w:r>
    </w:p>
    <w:p w14:paraId="1F397876">
      <w:pPr>
        <w:ind w:firstLine="600" w:firstLineChars="200"/>
        <w:rPr>
          <w:rFonts w:ascii="仿宋_GB2312" w:eastAsia="仿宋_GB2312"/>
          <w:color w:val="auto"/>
          <w:sz w:val="30"/>
          <w:szCs w:val="30"/>
        </w:rPr>
      </w:pPr>
      <w:r>
        <w:rPr>
          <w:rFonts w:hint="eastAsia" w:ascii="仿宋_GB2312" w:eastAsia="仿宋_GB2312"/>
          <w:color w:val="auto"/>
          <w:sz w:val="30"/>
          <w:szCs w:val="30"/>
        </w:rPr>
        <w:t>（1）在见义勇为、拾金不昧、帮弱助残、抢险救灾、抢救伤残等方面有突出事迹，受到全国、省（部）、市、学校、学院表彰或通报表扬或媒体宣传的，每次按如下标准加分：</w:t>
      </w:r>
    </w:p>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2160"/>
        <w:gridCol w:w="1620"/>
        <w:gridCol w:w="1620"/>
        <w:gridCol w:w="1620"/>
      </w:tblGrid>
      <w:tr w14:paraId="6224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60" w:type="dxa"/>
          </w:tcPr>
          <w:p w14:paraId="63940A63">
            <w:pPr>
              <w:pStyle w:val="12"/>
              <w:spacing w:before="22" w:line="360" w:lineRule="auto"/>
              <w:ind w:left="9"/>
              <w:jc w:val="center"/>
              <w:rPr>
                <w:rFonts w:ascii="仿宋_GB2312" w:eastAsia="仿宋_GB2312"/>
                <w:color w:val="auto"/>
                <w:sz w:val="30"/>
                <w:szCs w:val="30"/>
              </w:rPr>
            </w:pPr>
            <w:r>
              <w:rPr>
                <w:rFonts w:hint="eastAsia" w:ascii="仿宋_GB2312" w:eastAsia="仿宋_GB2312"/>
                <w:color w:val="auto"/>
                <w:sz w:val="30"/>
                <w:szCs w:val="30"/>
              </w:rPr>
              <w:t>等级</w:t>
            </w:r>
          </w:p>
        </w:tc>
        <w:tc>
          <w:tcPr>
            <w:tcW w:w="2160" w:type="dxa"/>
          </w:tcPr>
          <w:p w14:paraId="6946C249">
            <w:pPr>
              <w:pStyle w:val="12"/>
              <w:spacing w:before="22" w:line="360" w:lineRule="auto"/>
              <w:ind w:left="609" w:right="600"/>
              <w:jc w:val="center"/>
              <w:rPr>
                <w:rFonts w:ascii="仿宋_GB2312" w:eastAsia="仿宋_GB2312"/>
                <w:color w:val="auto"/>
                <w:sz w:val="30"/>
                <w:szCs w:val="30"/>
              </w:rPr>
            </w:pPr>
            <w:r>
              <w:rPr>
                <w:rFonts w:hint="eastAsia" w:ascii="仿宋_GB2312" w:eastAsia="仿宋_GB2312"/>
                <w:color w:val="auto"/>
                <w:sz w:val="30"/>
                <w:szCs w:val="30"/>
              </w:rPr>
              <w:t>国家级</w:t>
            </w:r>
          </w:p>
        </w:tc>
        <w:tc>
          <w:tcPr>
            <w:tcW w:w="1620" w:type="dxa"/>
          </w:tcPr>
          <w:p w14:paraId="35F2B3A7">
            <w:pPr>
              <w:pStyle w:val="12"/>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省部级</w:t>
            </w:r>
          </w:p>
        </w:tc>
        <w:tc>
          <w:tcPr>
            <w:tcW w:w="1620" w:type="dxa"/>
          </w:tcPr>
          <w:p w14:paraId="0D200DFB">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校</w:t>
            </w:r>
            <w:r>
              <w:rPr>
                <w:rFonts w:hint="eastAsia" w:ascii="仿宋_GB2312" w:eastAsia="仿宋_GB2312"/>
                <w:color w:val="auto"/>
                <w:sz w:val="30"/>
                <w:szCs w:val="30"/>
              </w:rPr>
              <w:tab/>
            </w:r>
            <w:r>
              <w:rPr>
                <w:rFonts w:hint="eastAsia" w:ascii="仿宋_GB2312" w:eastAsia="仿宋_GB2312"/>
                <w:color w:val="auto"/>
                <w:sz w:val="30"/>
                <w:szCs w:val="30"/>
              </w:rPr>
              <w:t>级</w:t>
            </w:r>
          </w:p>
        </w:tc>
        <w:tc>
          <w:tcPr>
            <w:tcW w:w="1620" w:type="dxa"/>
          </w:tcPr>
          <w:p w14:paraId="0FF3B39A">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院</w:t>
            </w:r>
            <w:r>
              <w:rPr>
                <w:rFonts w:hint="eastAsia" w:ascii="仿宋_GB2312" w:eastAsia="仿宋_GB2312"/>
                <w:color w:val="auto"/>
                <w:sz w:val="30"/>
                <w:szCs w:val="30"/>
              </w:rPr>
              <w:tab/>
            </w:r>
            <w:r>
              <w:rPr>
                <w:rFonts w:hint="eastAsia" w:ascii="仿宋_GB2312" w:eastAsia="仿宋_GB2312"/>
                <w:color w:val="auto"/>
                <w:sz w:val="30"/>
                <w:szCs w:val="30"/>
              </w:rPr>
              <w:t>级</w:t>
            </w:r>
          </w:p>
        </w:tc>
      </w:tr>
      <w:tr w14:paraId="185EA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60" w:type="dxa"/>
          </w:tcPr>
          <w:p w14:paraId="09B6B0F2">
            <w:pPr>
              <w:pStyle w:val="12"/>
              <w:spacing w:before="21" w:line="360" w:lineRule="auto"/>
              <w:ind w:left="9"/>
              <w:jc w:val="center"/>
              <w:rPr>
                <w:rFonts w:ascii="仿宋_GB2312" w:eastAsia="仿宋_GB2312"/>
                <w:color w:val="auto"/>
                <w:sz w:val="30"/>
                <w:szCs w:val="30"/>
              </w:rPr>
            </w:pPr>
            <w:r>
              <w:rPr>
                <w:rFonts w:hint="eastAsia" w:ascii="仿宋_GB2312" w:eastAsia="仿宋_GB2312"/>
                <w:color w:val="auto"/>
                <w:sz w:val="30"/>
                <w:szCs w:val="30"/>
              </w:rPr>
              <w:t>分值</w:t>
            </w:r>
          </w:p>
        </w:tc>
        <w:tc>
          <w:tcPr>
            <w:tcW w:w="2160" w:type="dxa"/>
          </w:tcPr>
          <w:p w14:paraId="3C0E951E">
            <w:pPr>
              <w:pStyle w:val="12"/>
              <w:spacing w:line="360" w:lineRule="auto"/>
              <w:ind w:left="609" w:right="598"/>
              <w:jc w:val="center"/>
              <w:rPr>
                <w:rFonts w:ascii="仿宋_GB2312" w:eastAsia="仿宋_GB2312"/>
                <w:color w:val="auto"/>
                <w:sz w:val="30"/>
                <w:szCs w:val="30"/>
              </w:rPr>
            </w:pPr>
            <w:r>
              <w:rPr>
                <w:rFonts w:hint="eastAsia" w:ascii="仿宋_GB2312" w:eastAsia="仿宋_GB2312"/>
                <w:color w:val="auto"/>
                <w:sz w:val="30"/>
                <w:szCs w:val="30"/>
              </w:rPr>
              <w:t>15</w:t>
            </w:r>
          </w:p>
        </w:tc>
        <w:tc>
          <w:tcPr>
            <w:tcW w:w="1620" w:type="dxa"/>
          </w:tcPr>
          <w:p w14:paraId="157CD86C">
            <w:pPr>
              <w:pStyle w:val="12"/>
              <w:spacing w:line="360" w:lineRule="auto"/>
              <w:ind w:left="8"/>
              <w:jc w:val="center"/>
              <w:rPr>
                <w:rFonts w:ascii="仿宋_GB2312" w:eastAsia="仿宋_GB2312"/>
                <w:color w:val="auto"/>
                <w:sz w:val="30"/>
                <w:szCs w:val="30"/>
              </w:rPr>
            </w:pPr>
            <w:r>
              <w:rPr>
                <w:rFonts w:hint="eastAsia" w:ascii="仿宋_GB2312" w:eastAsia="仿宋_GB2312"/>
                <w:color w:val="auto"/>
                <w:sz w:val="30"/>
                <w:szCs w:val="30"/>
              </w:rPr>
              <w:t>10</w:t>
            </w:r>
          </w:p>
        </w:tc>
        <w:tc>
          <w:tcPr>
            <w:tcW w:w="1620" w:type="dxa"/>
          </w:tcPr>
          <w:p w14:paraId="099D0544">
            <w:pPr>
              <w:pStyle w:val="12"/>
              <w:spacing w:line="360" w:lineRule="auto"/>
              <w:ind w:left="11"/>
              <w:jc w:val="center"/>
              <w:rPr>
                <w:rFonts w:ascii="仿宋_GB2312" w:eastAsia="仿宋_GB2312"/>
                <w:color w:val="auto"/>
                <w:sz w:val="30"/>
                <w:szCs w:val="30"/>
              </w:rPr>
            </w:pPr>
            <w:r>
              <w:rPr>
                <w:rFonts w:hint="eastAsia" w:ascii="仿宋_GB2312" w:eastAsia="仿宋_GB2312"/>
                <w:color w:val="auto"/>
                <w:sz w:val="30"/>
                <w:szCs w:val="30"/>
              </w:rPr>
              <w:t>5</w:t>
            </w:r>
          </w:p>
        </w:tc>
        <w:tc>
          <w:tcPr>
            <w:tcW w:w="1620" w:type="dxa"/>
          </w:tcPr>
          <w:p w14:paraId="091ED0E3">
            <w:pPr>
              <w:pStyle w:val="12"/>
              <w:spacing w:line="360" w:lineRule="auto"/>
              <w:ind w:left="11"/>
              <w:jc w:val="center"/>
              <w:rPr>
                <w:rFonts w:ascii="仿宋_GB2312" w:eastAsia="仿宋_GB2312"/>
                <w:color w:val="auto"/>
                <w:sz w:val="30"/>
                <w:szCs w:val="30"/>
              </w:rPr>
            </w:pPr>
            <w:r>
              <w:rPr>
                <w:rFonts w:hint="eastAsia" w:ascii="仿宋_GB2312" w:eastAsia="仿宋_GB2312"/>
                <w:color w:val="auto"/>
                <w:sz w:val="30"/>
                <w:szCs w:val="30"/>
              </w:rPr>
              <w:t>3</w:t>
            </w:r>
          </w:p>
        </w:tc>
      </w:tr>
    </w:tbl>
    <w:p w14:paraId="3BE82557">
      <w:pPr>
        <w:pStyle w:val="2"/>
        <w:spacing w:before="171" w:line="360" w:lineRule="auto"/>
        <w:ind w:right="282" w:firstLine="640"/>
        <w:rPr>
          <w:rFonts w:ascii="仿宋_GB2312" w:eastAsia="仿宋_GB2312"/>
          <w:color w:val="auto"/>
          <w:sz w:val="30"/>
          <w:szCs w:val="30"/>
        </w:rPr>
      </w:pPr>
      <w:r>
        <w:rPr>
          <w:rFonts w:hint="eastAsia" w:ascii="仿宋_GB2312" w:eastAsia="仿宋_GB2312"/>
          <w:color w:val="auto"/>
          <w:sz w:val="30"/>
          <w:szCs w:val="30"/>
        </w:rPr>
        <w:t>备注：同一事迹多次受表彰或表扬的，只取最高级别加分，不累计加分。</w:t>
      </w:r>
    </w:p>
    <w:p w14:paraId="40D540E7">
      <w:pPr>
        <w:ind w:firstLine="600" w:firstLineChars="200"/>
        <w:rPr>
          <w:rFonts w:ascii="仿宋_GB2312" w:eastAsia="仿宋_GB2312"/>
          <w:color w:val="auto"/>
          <w:sz w:val="30"/>
          <w:szCs w:val="30"/>
        </w:rPr>
      </w:pPr>
      <w:r>
        <w:rPr>
          <w:rFonts w:hint="eastAsia" w:ascii="仿宋_GB2312" w:eastAsia="仿宋_GB2312"/>
          <w:color w:val="auto"/>
          <w:sz w:val="30"/>
          <w:szCs w:val="30"/>
        </w:rPr>
        <w:t>（2）本学年获得“优秀共产党员”、“优秀团干”、“优秀团员”等，每次按如下标准加分：</w:t>
      </w:r>
    </w:p>
    <w:tbl>
      <w:tblPr>
        <w:tblStyle w:val="6"/>
        <w:tblW w:w="8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2160"/>
        <w:gridCol w:w="1620"/>
        <w:gridCol w:w="1620"/>
        <w:gridCol w:w="1620"/>
      </w:tblGrid>
      <w:tr w14:paraId="5651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60" w:type="dxa"/>
          </w:tcPr>
          <w:p w14:paraId="0DC4261E">
            <w:pPr>
              <w:pStyle w:val="12"/>
              <w:spacing w:before="22" w:line="360" w:lineRule="auto"/>
              <w:ind w:left="9"/>
              <w:jc w:val="center"/>
              <w:rPr>
                <w:rFonts w:ascii="仿宋_GB2312" w:eastAsia="仿宋_GB2312"/>
                <w:color w:val="auto"/>
                <w:sz w:val="30"/>
                <w:szCs w:val="30"/>
              </w:rPr>
            </w:pPr>
            <w:r>
              <w:rPr>
                <w:rFonts w:hint="eastAsia" w:ascii="仿宋_GB2312" w:eastAsia="仿宋_GB2312"/>
                <w:color w:val="auto"/>
                <w:sz w:val="30"/>
                <w:szCs w:val="30"/>
              </w:rPr>
              <w:t>等级</w:t>
            </w:r>
          </w:p>
        </w:tc>
        <w:tc>
          <w:tcPr>
            <w:tcW w:w="2160" w:type="dxa"/>
          </w:tcPr>
          <w:p w14:paraId="0ABE2A91">
            <w:pPr>
              <w:pStyle w:val="12"/>
              <w:spacing w:before="22" w:line="360" w:lineRule="auto"/>
              <w:ind w:left="609" w:right="600"/>
              <w:jc w:val="center"/>
              <w:rPr>
                <w:rFonts w:ascii="仿宋_GB2312" w:eastAsia="仿宋_GB2312"/>
                <w:color w:val="auto"/>
                <w:sz w:val="30"/>
                <w:szCs w:val="30"/>
              </w:rPr>
            </w:pPr>
            <w:r>
              <w:rPr>
                <w:rFonts w:hint="eastAsia" w:ascii="仿宋_GB2312" w:eastAsia="仿宋_GB2312"/>
                <w:color w:val="auto"/>
                <w:sz w:val="30"/>
                <w:szCs w:val="30"/>
              </w:rPr>
              <w:t>国家级</w:t>
            </w:r>
          </w:p>
        </w:tc>
        <w:tc>
          <w:tcPr>
            <w:tcW w:w="1620" w:type="dxa"/>
          </w:tcPr>
          <w:p w14:paraId="0F4EF05A">
            <w:pPr>
              <w:pStyle w:val="12"/>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省部级</w:t>
            </w:r>
          </w:p>
        </w:tc>
        <w:tc>
          <w:tcPr>
            <w:tcW w:w="1620" w:type="dxa"/>
          </w:tcPr>
          <w:p w14:paraId="3394D7BF">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校</w:t>
            </w:r>
            <w:r>
              <w:rPr>
                <w:rFonts w:hint="eastAsia" w:ascii="仿宋_GB2312" w:eastAsia="仿宋_GB2312"/>
                <w:color w:val="auto"/>
                <w:sz w:val="30"/>
                <w:szCs w:val="30"/>
              </w:rPr>
              <w:tab/>
            </w:r>
            <w:r>
              <w:rPr>
                <w:rFonts w:hint="eastAsia" w:ascii="仿宋_GB2312" w:eastAsia="仿宋_GB2312"/>
                <w:color w:val="auto"/>
                <w:sz w:val="30"/>
                <w:szCs w:val="30"/>
              </w:rPr>
              <w:t>级</w:t>
            </w:r>
          </w:p>
        </w:tc>
        <w:tc>
          <w:tcPr>
            <w:tcW w:w="1620" w:type="dxa"/>
          </w:tcPr>
          <w:p w14:paraId="7902DDCB">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院</w:t>
            </w:r>
            <w:r>
              <w:rPr>
                <w:rFonts w:hint="eastAsia" w:ascii="仿宋_GB2312" w:eastAsia="仿宋_GB2312"/>
                <w:color w:val="auto"/>
                <w:sz w:val="30"/>
                <w:szCs w:val="30"/>
              </w:rPr>
              <w:tab/>
            </w:r>
            <w:r>
              <w:rPr>
                <w:rFonts w:hint="eastAsia" w:ascii="仿宋_GB2312" w:eastAsia="仿宋_GB2312"/>
                <w:color w:val="auto"/>
                <w:sz w:val="30"/>
                <w:szCs w:val="30"/>
              </w:rPr>
              <w:t>级</w:t>
            </w:r>
          </w:p>
        </w:tc>
      </w:tr>
      <w:tr w14:paraId="3F52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60" w:type="dxa"/>
          </w:tcPr>
          <w:p w14:paraId="6BA83DB6">
            <w:pPr>
              <w:pStyle w:val="12"/>
              <w:spacing w:before="21" w:line="360" w:lineRule="auto"/>
              <w:ind w:left="9"/>
              <w:jc w:val="center"/>
              <w:rPr>
                <w:rFonts w:ascii="仿宋_GB2312" w:eastAsia="仿宋_GB2312"/>
                <w:color w:val="auto"/>
                <w:sz w:val="30"/>
                <w:szCs w:val="30"/>
              </w:rPr>
            </w:pPr>
            <w:r>
              <w:rPr>
                <w:rFonts w:hint="eastAsia" w:ascii="仿宋_GB2312" w:eastAsia="仿宋_GB2312"/>
                <w:color w:val="auto"/>
                <w:sz w:val="30"/>
                <w:szCs w:val="30"/>
              </w:rPr>
              <w:t>分值</w:t>
            </w:r>
          </w:p>
        </w:tc>
        <w:tc>
          <w:tcPr>
            <w:tcW w:w="2160" w:type="dxa"/>
          </w:tcPr>
          <w:p w14:paraId="0064DB98">
            <w:pPr>
              <w:pStyle w:val="12"/>
              <w:spacing w:line="360" w:lineRule="auto"/>
              <w:ind w:left="609" w:right="598"/>
              <w:jc w:val="center"/>
              <w:rPr>
                <w:rFonts w:ascii="仿宋_GB2312" w:eastAsia="仿宋_GB2312"/>
                <w:color w:val="auto"/>
                <w:sz w:val="30"/>
                <w:szCs w:val="30"/>
              </w:rPr>
            </w:pPr>
            <w:r>
              <w:rPr>
                <w:rFonts w:hint="eastAsia" w:ascii="仿宋_GB2312" w:eastAsia="仿宋_GB2312"/>
                <w:color w:val="auto"/>
                <w:sz w:val="30"/>
                <w:szCs w:val="30"/>
              </w:rPr>
              <w:t>15</w:t>
            </w:r>
          </w:p>
        </w:tc>
        <w:tc>
          <w:tcPr>
            <w:tcW w:w="1620" w:type="dxa"/>
          </w:tcPr>
          <w:p w14:paraId="0ED8A027">
            <w:pPr>
              <w:pStyle w:val="12"/>
              <w:spacing w:line="360" w:lineRule="auto"/>
              <w:ind w:left="8"/>
              <w:jc w:val="center"/>
              <w:rPr>
                <w:rFonts w:ascii="仿宋_GB2312" w:eastAsia="仿宋_GB2312"/>
                <w:color w:val="auto"/>
                <w:sz w:val="30"/>
                <w:szCs w:val="30"/>
              </w:rPr>
            </w:pPr>
            <w:r>
              <w:rPr>
                <w:rFonts w:hint="eastAsia" w:ascii="仿宋_GB2312" w:eastAsia="仿宋_GB2312"/>
                <w:color w:val="auto"/>
                <w:sz w:val="30"/>
                <w:szCs w:val="30"/>
              </w:rPr>
              <w:t>10</w:t>
            </w:r>
          </w:p>
        </w:tc>
        <w:tc>
          <w:tcPr>
            <w:tcW w:w="1620" w:type="dxa"/>
          </w:tcPr>
          <w:p w14:paraId="64A1A99B">
            <w:pPr>
              <w:pStyle w:val="12"/>
              <w:spacing w:line="360" w:lineRule="auto"/>
              <w:ind w:left="11"/>
              <w:jc w:val="center"/>
              <w:rPr>
                <w:rFonts w:ascii="仿宋_GB2312" w:eastAsia="仿宋_GB2312"/>
                <w:color w:val="auto"/>
                <w:sz w:val="30"/>
                <w:szCs w:val="30"/>
              </w:rPr>
            </w:pPr>
            <w:r>
              <w:rPr>
                <w:rFonts w:hint="eastAsia" w:ascii="仿宋_GB2312" w:eastAsia="仿宋_GB2312"/>
                <w:color w:val="auto"/>
                <w:sz w:val="30"/>
                <w:szCs w:val="30"/>
              </w:rPr>
              <w:t>5</w:t>
            </w:r>
          </w:p>
        </w:tc>
        <w:tc>
          <w:tcPr>
            <w:tcW w:w="1620" w:type="dxa"/>
          </w:tcPr>
          <w:p w14:paraId="01EC8D08">
            <w:pPr>
              <w:pStyle w:val="12"/>
              <w:spacing w:line="360" w:lineRule="auto"/>
              <w:ind w:left="11"/>
              <w:jc w:val="center"/>
              <w:rPr>
                <w:rFonts w:ascii="仿宋_GB2312" w:eastAsia="仿宋_GB2312"/>
                <w:color w:val="auto"/>
                <w:sz w:val="30"/>
                <w:szCs w:val="30"/>
              </w:rPr>
            </w:pPr>
            <w:r>
              <w:rPr>
                <w:rFonts w:hint="eastAsia" w:ascii="仿宋_GB2312" w:eastAsia="仿宋_GB2312"/>
                <w:color w:val="auto"/>
                <w:sz w:val="30"/>
                <w:szCs w:val="30"/>
              </w:rPr>
              <w:t>3</w:t>
            </w:r>
          </w:p>
        </w:tc>
      </w:tr>
    </w:tbl>
    <w:p w14:paraId="533981B5">
      <w:pPr>
        <w:pStyle w:val="2"/>
        <w:spacing w:before="171" w:line="360" w:lineRule="auto"/>
        <w:ind w:left="141" w:leftChars="67" w:right="281" w:firstLine="600" w:firstLineChars="200"/>
        <w:rPr>
          <w:rFonts w:ascii="仿宋_GB2312" w:eastAsia="仿宋_GB2312"/>
          <w:color w:val="auto"/>
          <w:sz w:val="30"/>
          <w:szCs w:val="30"/>
        </w:rPr>
      </w:pPr>
      <w:r>
        <w:rPr>
          <w:rFonts w:hint="eastAsia" w:ascii="仿宋_GB2312" w:eastAsia="仿宋_GB2312"/>
          <w:color w:val="auto"/>
          <w:sz w:val="30"/>
          <w:szCs w:val="30"/>
        </w:rPr>
        <w:t>备注：“优秀团干”、“优秀团员”的评选按照学校相关文件执行。</w:t>
      </w:r>
    </w:p>
    <w:p w14:paraId="37C5B9DA">
      <w:pPr>
        <w:ind w:firstLine="600" w:firstLineChars="200"/>
        <w:rPr>
          <w:rFonts w:ascii="仿宋_GB2312" w:eastAsia="仿宋_GB2312"/>
          <w:color w:val="auto"/>
          <w:sz w:val="30"/>
          <w:szCs w:val="30"/>
        </w:rPr>
      </w:pPr>
      <w:r>
        <w:rPr>
          <w:rFonts w:hint="eastAsia" w:ascii="仿宋_GB2312" w:eastAsia="仿宋_GB2312"/>
          <w:color w:val="auto"/>
          <w:sz w:val="30"/>
          <w:szCs w:val="30"/>
        </w:rPr>
        <w:t>（3）本学年获得“先进学生党支部”、“先进团支部”、“ 先进班集体”、“文明寝室”、“文明寝室标兵”等称号，所属该集体的成员每次均可按如下标准加分：</w:t>
      </w:r>
    </w:p>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2160"/>
        <w:gridCol w:w="1620"/>
        <w:gridCol w:w="1620"/>
        <w:gridCol w:w="1620"/>
      </w:tblGrid>
      <w:tr w14:paraId="2F6CF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60" w:type="dxa"/>
          </w:tcPr>
          <w:p w14:paraId="3668EC0E">
            <w:pPr>
              <w:pStyle w:val="12"/>
              <w:spacing w:before="20" w:line="360" w:lineRule="auto"/>
              <w:ind w:left="9"/>
              <w:jc w:val="center"/>
              <w:rPr>
                <w:rFonts w:ascii="仿宋_GB2312" w:eastAsia="仿宋_GB2312"/>
                <w:color w:val="auto"/>
                <w:sz w:val="30"/>
                <w:szCs w:val="30"/>
              </w:rPr>
            </w:pPr>
            <w:r>
              <w:rPr>
                <w:rFonts w:hint="eastAsia" w:ascii="仿宋_GB2312" w:eastAsia="仿宋_GB2312"/>
                <w:color w:val="auto"/>
                <w:sz w:val="30"/>
                <w:szCs w:val="30"/>
              </w:rPr>
              <w:t>等级</w:t>
            </w:r>
          </w:p>
        </w:tc>
        <w:tc>
          <w:tcPr>
            <w:tcW w:w="2160" w:type="dxa"/>
          </w:tcPr>
          <w:p w14:paraId="5FAB1471">
            <w:pPr>
              <w:pStyle w:val="12"/>
              <w:spacing w:before="20" w:line="360" w:lineRule="auto"/>
              <w:ind w:right="618"/>
              <w:rPr>
                <w:rFonts w:ascii="仿宋_GB2312" w:eastAsia="仿宋_GB2312"/>
                <w:color w:val="auto"/>
                <w:sz w:val="30"/>
                <w:szCs w:val="30"/>
              </w:rPr>
            </w:pPr>
            <w:r>
              <w:rPr>
                <w:rFonts w:hint="eastAsia" w:ascii="仿宋_GB2312" w:eastAsia="仿宋_GB2312"/>
                <w:color w:val="auto"/>
                <w:sz w:val="30"/>
                <w:szCs w:val="30"/>
              </w:rPr>
              <w:t>国家级</w:t>
            </w:r>
          </w:p>
        </w:tc>
        <w:tc>
          <w:tcPr>
            <w:tcW w:w="1620" w:type="dxa"/>
          </w:tcPr>
          <w:p w14:paraId="1825D0F7">
            <w:pPr>
              <w:pStyle w:val="12"/>
              <w:spacing w:before="20" w:line="360" w:lineRule="auto"/>
              <w:ind w:right="349"/>
              <w:rPr>
                <w:rFonts w:ascii="仿宋_GB2312" w:eastAsia="仿宋_GB2312"/>
                <w:color w:val="auto"/>
                <w:sz w:val="30"/>
                <w:szCs w:val="30"/>
              </w:rPr>
            </w:pPr>
            <w:r>
              <w:rPr>
                <w:rFonts w:hint="eastAsia" w:ascii="仿宋_GB2312" w:eastAsia="仿宋_GB2312"/>
                <w:color w:val="auto"/>
                <w:sz w:val="30"/>
                <w:szCs w:val="30"/>
              </w:rPr>
              <w:t>省部级</w:t>
            </w:r>
          </w:p>
        </w:tc>
        <w:tc>
          <w:tcPr>
            <w:tcW w:w="1620" w:type="dxa"/>
          </w:tcPr>
          <w:p w14:paraId="2115563B">
            <w:pPr>
              <w:pStyle w:val="12"/>
              <w:tabs>
                <w:tab w:val="left" w:pos="599"/>
              </w:tabs>
              <w:spacing w:before="20" w:line="360" w:lineRule="auto"/>
              <w:ind w:right="349"/>
              <w:rPr>
                <w:rFonts w:ascii="仿宋_GB2312" w:eastAsia="仿宋_GB2312"/>
                <w:color w:val="auto"/>
                <w:sz w:val="30"/>
                <w:szCs w:val="30"/>
              </w:rPr>
            </w:pPr>
            <w:r>
              <w:rPr>
                <w:rFonts w:hint="eastAsia" w:ascii="仿宋_GB2312" w:eastAsia="仿宋_GB2312"/>
                <w:color w:val="auto"/>
                <w:sz w:val="30"/>
                <w:szCs w:val="30"/>
              </w:rPr>
              <w:t>校</w:t>
            </w:r>
            <w:r>
              <w:rPr>
                <w:rFonts w:hint="eastAsia" w:ascii="仿宋_GB2312" w:eastAsia="仿宋_GB2312"/>
                <w:color w:val="auto"/>
                <w:sz w:val="30"/>
                <w:szCs w:val="30"/>
              </w:rPr>
              <w:tab/>
            </w:r>
            <w:r>
              <w:rPr>
                <w:rFonts w:hint="eastAsia" w:ascii="仿宋_GB2312" w:eastAsia="仿宋_GB2312"/>
                <w:color w:val="auto"/>
                <w:sz w:val="30"/>
                <w:szCs w:val="30"/>
              </w:rPr>
              <w:t>级</w:t>
            </w:r>
          </w:p>
        </w:tc>
        <w:tc>
          <w:tcPr>
            <w:tcW w:w="1620" w:type="dxa"/>
          </w:tcPr>
          <w:p w14:paraId="1490D0FD">
            <w:pPr>
              <w:pStyle w:val="12"/>
              <w:tabs>
                <w:tab w:val="left" w:pos="599"/>
              </w:tabs>
              <w:spacing w:before="20" w:line="360" w:lineRule="auto"/>
              <w:ind w:right="349"/>
              <w:rPr>
                <w:rFonts w:ascii="仿宋_GB2312" w:eastAsia="仿宋_GB2312"/>
                <w:color w:val="auto"/>
                <w:sz w:val="30"/>
                <w:szCs w:val="30"/>
              </w:rPr>
            </w:pPr>
            <w:r>
              <w:rPr>
                <w:rFonts w:hint="eastAsia" w:ascii="仿宋_GB2312" w:eastAsia="仿宋_GB2312"/>
                <w:color w:val="auto"/>
                <w:sz w:val="30"/>
                <w:szCs w:val="30"/>
              </w:rPr>
              <w:t>院</w:t>
            </w:r>
            <w:r>
              <w:rPr>
                <w:rFonts w:hint="eastAsia" w:ascii="仿宋_GB2312" w:eastAsia="仿宋_GB2312"/>
                <w:color w:val="auto"/>
                <w:sz w:val="30"/>
                <w:szCs w:val="30"/>
              </w:rPr>
              <w:tab/>
            </w:r>
            <w:r>
              <w:rPr>
                <w:rFonts w:hint="eastAsia" w:ascii="仿宋_GB2312" w:eastAsia="仿宋_GB2312"/>
                <w:color w:val="auto"/>
                <w:sz w:val="30"/>
                <w:szCs w:val="30"/>
              </w:rPr>
              <w:t>级</w:t>
            </w:r>
          </w:p>
        </w:tc>
      </w:tr>
      <w:tr w14:paraId="2645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60" w:type="dxa"/>
          </w:tcPr>
          <w:p w14:paraId="3729E461">
            <w:pPr>
              <w:pStyle w:val="12"/>
              <w:spacing w:before="21" w:line="360" w:lineRule="auto"/>
              <w:ind w:left="9"/>
              <w:jc w:val="center"/>
              <w:rPr>
                <w:rFonts w:ascii="仿宋_GB2312" w:eastAsia="仿宋_GB2312"/>
                <w:color w:val="auto"/>
                <w:sz w:val="30"/>
                <w:szCs w:val="30"/>
              </w:rPr>
            </w:pPr>
            <w:r>
              <w:rPr>
                <w:rFonts w:hint="eastAsia" w:ascii="仿宋_GB2312" w:eastAsia="仿宋_GB2312"/>
                <w:color w:val="auto"/>
                <w:sz w:val="30"/>
                <w:szCs w:val="30"/>
              </w:rPr>
              <w:t>分值</w:t>
            </w:r>
          </w:p>
        </w:tc>
        <w:tc>
          <w:tcPr>
            <w:tcW w:w="2160" w:type="dxa"/>
          </w:tcPr>
          <w:p w14:paraId="1ED85503">
            <w:pPr>
              <w:pStyle w:val="12"/>
              <w:spacing w:line="360" w:lineRule="auto"/>
              <w:ind w:left="609" w:right="598"/>
              <w:jc w:val="center"/>
              <w:rPr>
                <w:rFonts w:hint="eastAsia" w:ascii="仿宋_GB2312" w:eastAsia="仿宋_GB2312"/>
                <w:color w:val="auto"/>
                <w:sz w:val="30"/>
                <w:szCs w:val="30"/>
              </w:rPr>
            </w:pPr>
            <w:r>
              <w:rPr>
                <w:rFonts w:hint="eastAsia" w:ascii="仿宋_GB2312" w:eastAsia="仿宋_GB2312"/>
                <w:color w:val="auto"/>
                <w:sz w:val="30"/>
                <w:szCs w:val="30"/>
              </w:rPr>
              <w:t>10</w:t>
            </w:r>
          </w:p>
        </w:tc>
        <w:tc>
          <w:tcPr>
            <w:tcW w:w="1620" w:type="dxa"/>
          </w:tcPr>
          <w:p w14:paraId="1911FBC1">
            <w:pPr>
              <w:pStyle w:val="12"/>
              <w:spacing w:line="360" w:lineRule="auto"/>
              <w:ind w:left="609" w:right="598"/>
              <w:jc w:val="center"/>
              <w:rPr>
                <w:rFonts w:hint="eastAsia" w:ascii="仿宋_GB2312" w:eastAsia="仿宋_GB2312"/>
                <w:color w:val="auto"/>
                <w:sz w:val="30"/>
                <w:szCs w:val="30"/>
              </w:rPr>
            </w:pPr>
            <w:r>
              <w:rPr>
                <w:rFonts w:hint="eastAsia" w:ascii="仿宋_GB2312" w:eastAsia="仿宋_GB2312"/>
                <w:color w:val="auto"/>
                <w:sz w:val="30"/>
                <w:szCs w:val="30"/>
              </w:rPr>
              <w:t>5</w:t>
            </w:r>
          </w:p>
        </w:tc>
        <w:tc>
          <w:tcPr>
            <w:tcW w:w="1620" w:type="dxa"/>
          </w:tcPr>
          <w:p w14:paraId="1CFEEF06">
            <w:pPr>
              <w:pStyle w:val="12"/>
              <w:spacing w:line="360" w:lineRule="auto"/>
              <w:ind w:left="609" w:right="598"/>
              <w:jc w:val="center"/>
              <w:rPr>
                <w:rFonts w:hint="eastAsia" w:ascii="仿宋_GB2312" w:eastAsia="仿宋_GB2312"/>
                <w:color w:val="auto"/>
                <w:sz w:val="30"/>
                <w:szCs w:val="30"/>
              </w:rPr>
            </w:pPr>
            <w:r>
              <w:rPr>
                <w:rFonts w:hint="eastAsia" w:ascii="仿宋_GB2312" w:eastAsia="仿宋_GB2312"/>
                <w:color w:val="auto"/>
                <w:sz w:val="30"/>
                <w:szCs w:val="30"/>
              </w:rPr>
              <w:t>3</w:t>
            </w:r>
          </w:p>
        </w:tc>
        <w:tc>
          <w:tcPr>
            <w:tcW w:w="1620" w:type="dxa"/>
          </w:tcPr>
          <w:p w14:paraId="561C30DB">
            <w:pPr>
              <w:pStyle w:val="12"/>
              <w:spacing w:line="360" w:lineRule="auto"/>
              <w:ind w:left="609" w:right="598"/>
              <w:jc w:val="center"/>
              <w:rPr>
                <w:rFonts w:hint="eastAsia" w:ascii="仿宋_GB2312" w:eastAsia="仿宋_GB2312"/>
                <w:color w:val="auto"/>
                <w:sz w:val="30"/>
                <w:szCs w:val="30"/>
              </w:rPr>
            </w:pPr>
            <w:r>
              <w:rPr>
                <w:rFonts w:hint="eastAsia" w:ascii="仿宋_GB2312" w:eastAsia="仿宋_GB2312"/>
                <w:color w:val="auto"/>
                <w:sz w:val="30"/>
                <w:szCs w:val="30"/>
              </w:rPr>
              <w:t>2</w:t>
            </w:r>
          </w:p>
        </w:tc>
      </w:tr>
    </w:tbl>
    <w:p w14:paraId="74CB967D">
      <w:pPr>
        <w:ind w:firstLine="600" w:firstLineChars="200"/>
        <w:rPr>
          <w:rFonts w:ascii="仿宋_GB2312" w:eastAsia="仿宋_GB2312"/>
          <w:color w:val="auto"/>
          <w:sz w:val="30"/>
          <w:szCs w:val="30"/>
        </w:rPr>
      </w:pPr>
      <w:r>
        <w:rPr>
          <w:rFonts w:hint="eastAsia" w:ascii="仿宋_GB2312" w:eastAsia="仿宋_GB2312"/>
          <w:color w:val="auto"/>
          <w:sz w:val="30"/>
          <w:szCs w:val="30"/>
        </w:rPr>
        <w:t>备注：校级和院级的“文明寝室”、“文明寝室标兵”加分不得超过 3 次，校级和院级不得同时加分，取最高分。</w:t>
      </w:r>
    </w:p>
    <w:p w14:paraId="32F894E5">
      <w:pPr>
        <w:rPr>
          <w:rFonts w:ascii="仿宋_GB2312" w:eastAsia="仿宋_GB2312"/>
          <w:color w:val="auto"/>
          <w:sz w:val="30"/>
          <w:szCs w:val="30"/>
        </w:rPr>
      </w:pPr>
      <w:r>
        <w:rPr>
          <w:rFonts w:hint="eastAsia" w:ascii="仿宋_GB2312" w:eastAsia="仿宋_GB2312"/>
          <w:color w:val="auto"/>
          <w:sz w:val="30"/>
          <w:szCs w:val="30"/>
        </w:rPr>
        <w:t>（4）</w:t>
      </w:r>
      <w:r>
        <w:rPr>
          <w:rFonts w:hint="eastAsia" w:ascii="仿宋_GB2312" w:eastAsia="仿宋_GB2312"/>
          <w:color w:val="auto"/>
          <w:sz w:val="30"/>
          <w:szCs w:val="30"/>
        </w:rPr>
        <w:tab/>
      </w:r>
      <w:r>
        <w:rPr>
          <w:rFonts w:hint="eastAsia" w:ascii="仿宋_GB2312" w:eastAsia="仿宋_GB2312"/>
          <w:color w:val="auto"/>
          <w:sz w:val="30"/>
          <w:szCs w:val="30"/>
        </w:rPr>
        <w:t>本学年参加无偿献血者，按 3 分/次加分，最高可加 6 分。</w:t>
      </w:r>
    </w:p>
    <w:p w14:paraId="156732B3">
      <w:pPr>
        <w:ind w:firstLine="596" w:firstLineChars="198"/>
        <w:rPr>
          <w:rFonts w:ascii="仿宋_GB2312" w:eastAsia="仿宋_GB2312"/>
          <w:color w:val="auto"/>
          <w:sz w:val="30"/>
          <w:szCs w:val="30"/>
        </w:rPr>
      </w:pPr>
      <w:r>
        <w:rPr>
          <w:rFonts w:hint="eastAsia" w:ascii="仿宋_GB2312" w:eastAsia="仿宋_GB2312"/>
          <w:b/>
          <w:color w:val="auto"/>
          <w:sz w:val="30"/>
          <w:szCs w:val="30"/>
        </w:rPr>
        <w:t>第七条</w:t>
      </w:r>
      <w:r>
        <w:rPr>
          <w:rFonts w:hint="eastAsia" w:ascii="仿宋_GB2312" w:eastAsia="仿宋_GB2312"/>
          <w:color w:val="auto"/>
          <w:sz w:val="30"/>
          <w:szCs w:val="30"/>
        </w:rPr>
        <w:t xml:space="preserve"> 智育素质测评</w:t>
      </w:r>
    </w:p>
    <w:p w14:paraId="0F1AC17D">
      <w:pPr>
        <w:ind w:firstLine="600" w:firstLineChars="200"/>
        <w:rPr>
          <w:rFonts w:ascii="仿宋_GB2312" w:eastAsia="仿宋_GB2312"/>
          <w:color w:val="auto"/>
          <w:sz w:val="30"/>
          <w:szCs w:val="30"/>
        </w:rPr>
      </w:pPr>
      <w:r>
        <w:rPr>
          <w:rFonts w:hint="eastAsia" w:ascii="仿宋_GB2312" w:eastAsia="仿宋_GB2312"/>
          <w:color w:val="auto"/>
          <w:sz w:val="30"/>
          <w:szCs w:val="30"/>
        </w:rPr>
        <w:t>智育素质是指学生参加所修专业人才培养方案规定的各门课程所取得的考核成绩。</w:t>
      </w:r>
    </w:p>
    <w:p w14:paraId="172A9963">
      <w:pPr>
        <w:ind w:firstLine="602" w:firstLineChars="200"/>
        <w:rPr>
          <w:rFonts w:ascii="仿宋_GB2312" w:eastAsia="仿宋_GB2312"/>
          <w:b/>
          <w:color w:val="auto"/>
          <w:sz w:val="30"/>
          <w:szCs w:val="30"/>
        </w:rPr>
      </w:pPr>
      <w:r>
        <w:rPr>
          <w:rFonts w:hint="eastAsia" w:ascii="仿宋_GB2312" w:eastAsia="仿宋_GB2312"/>
          <w:b/>
          <w:color w:val="auto"/>
          <w:sz w:val="30"/>
          <w:szCs w:val="30"/>
        </w:rPr>
        <w:t>(一）不实行学分制条件下智育素质测评方法</w:t>
      </w:r>
    </w:p>
    <w:p w14:paraId="615D025A">
      <w:pPr>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1、根据学年学生各门课程考试或考查成绩计算</w:t>
      </w:r>
      <w:bookmarkStart w:id="0" w:name="_GoBack"/>
      <w:bookmarkEnd w:id="0"/>
      <w:r>
        <w:rPr>
          <w:rFonts w:hint="eastAsia" w:ascii="仿宋_GB2312" w:eastAsia="仿宋_GB2312"/>
          <w:color w:val="auto"/>
          <w:sz w:val="30"/>
          <w:szCs w:val="30"/>
          <w:lang w:val="en-US" w:eastAsia="zh-CN"/>
        </w:rPr>
        <w:t>平均学分</w:t>
      </w:r>
      <w:r>
        <w:rPr>
          <w:rFonts w:hint="eastAsia" w:ascii="仿宋_GB2312" w:eastAsia="仿宋_GB2312"/>
          <w:color w:val="auto"/>
          <w:sz w:val="30"/>
          <w:szCs w:val="30"/>
        </w:rPr>
        <w:t>成绩，计算公式:</w:t>
      </w:r>
    </w:p>
    <w:p w14:paraId="7B74EDB0">
      <w:pPr>
        <w:snapToGrid w:val="0"/>
        <w:spacing w:line="148" w:lineRule="auto"/>
        <w:ind w:left="125" w:right="202"/>
        <w:jc w:val="center"/>
        <w:rPr>
          <w:b/>
          <w:color w:val="auto"/>
          <w:sz w:val="32"/>
        </w:rPr>
      </w:pPr>
      <w:r>
        <w:rPr>
          <w:b/>
          <w:color w:val="auto"/>
        </w:rPr>
        <mc:AlternateContent>
          <mc:Choice Requires="wps">
            <w:drawing>
              <wp:anchor distT="0" distB="0" distL="114300" distR="114300" simplePos="0" relativeHeight="251659264" behindDoc="1" locked="0" layoutInCell="1" allowOverlap="1">
                <wp:simplePos x="0" y="0"/>
                <wp:positionH relativeFrom="page">
                  <wp:posOffset>2968625</wp:posOffset>
                </wp:positionH>
                <wp:positionV relativeFrom="paragraph">
                  <wp:posOffset>212725</wp:posOffset>
                </wp:positionV>
                <wp:extent cx="1697990" cy="0"/>
                <wp:effectExtent l="0" t="0" r="0" b="0"/>
                <wp:wrapNone/>
                <wp:docPr id="2" name="直线 6"/>
                <wp:cNvGraphicFramePr/>
                <a:graphic xmlns:a="http://schemas.openxmlformats.org/drawingml/2006/main">
                  <a:graphicData uri="http://schemas.microsoft.com/office/word/2010/wordprocessingShape">
                    <wps:wsp>
                      <wps:cNvCnPr/>
                      <wps:spPr>
                        <a:xfrm>
                          <a:off x="0" y="0"/>
                          <a:ext cx="1697990" cy="0"/>
                        </a:xfrm>
                        <a:prstGeom prst="line">
                          <a:avLst/>
                        </a:prstGeom>
                        <a:ln w="6909"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3.75pt;margin-top:16.75pt;height:0pt;width:133.7pt;mso-position-horizontal-relative:page;z-index:-251657216;mso-width-relative:page;mso-height-relative:page;" filled="f" stroked="t" coordsize="21600,21600" o:gfxdata="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8RK4PXAAAACQEAAA8A&#10;AAAAAAAAAQAgAAAAIgAAAGRycy9kb3ducmV2LnhtbFBLAQIUABQAAAAIAIdO4kBiQwIn3wEAAM8D&#10;AAAOAAAAAAAAAAEAIAAAACYBAABkcnMvZTJvRG9jLnhtbFBLBQYAAAAABgAGAFkBAAB3BQAAAAA=&#10;">
                <v:fill on="f" focussize="0,0"/>
                <v:stroke weight="0.544015748031496pt" color="#000000" joinstyle="round"/>
                <v:imagedata o:title=""/>
                <o:lock v:ext="edit" aspectratio="f"/>
              </v:line>
            </w:pict>
          </mc:Fallback>
        </mc:AlternateContent>
      </w:r>
      <w:r>
        <w:rPr>
          <w:rFonts w:eastAsia="Times New Roman"/>
          <w:b/>
          <w:i/>
          <w:color w:val="auto"/>
          <w:position w:val="-16"/>
          <w:sz w:val="26"/>
        </w:rPr>
        <w:t xml:space="preserve">A </w:t>
      </w:r>
      <w:r>
        <w:rPr>
          <w:rFonts w:ascii="Symbol" w:hAnsi="Symbol" w:eastAsia="Symbol"/>
          <w:b/>
          <w:color w:val="auto"/>
          <w:position w:val="-16"/>
          <w:sz w:val="26"/>
        </w:rPr>
        <w:t></w:t>
      </w:r>
      <w:r>
        <w:rPr>
          <w:rFonts w:eastAsia="Times New Roman"/>
          <w:b/>
          <w:color w:val="auto"/>
          <w:position w:val="-16"/>
          <w:sz w:val="26"/>
        </w:rPr>
        <w:t xml:space="preserve"> </w:t>
      </w:r>
      <w:r>
        <w:rPr>
          <w:rFonts w:eastAsia="Times New Roman"/>
          <w:b/>
          <w:i/>
          <w:color w:val="auto"/>
          <w:sz w:val="26"/>
        </w:rPr>
        <w:t>X</w:t>
      </w:r>
      <w:r>
        <w:rPr>
          <w:rFonts w:eastAsia="Times New Roman"/>
          <w:b/>
          <w:color w:val="auto"/>
          <w:position w:val="-6"/>
          <w:sz w:val="15"/>
        </w:rPr>
        <w:t>1</w:t>
      </w:r>
      <w:r>
        <w:rPr>
          <w:rFonts w:eastAsia="Times New Roman"/>
          <w:b/>
          <w:i/>
          <w:color w:val="auto"/>
          <w:sz w:val="26"/>
        </w:rPr>
        <w:t>m</w:t>
      </w:r>
      <w:r>
        <w:rPr>
          <w:rFonts w:eastAsia="Times New Roman"/>
          <w:b/>
          <w:color w:val="auto"/>
          <w:position w:val="-6"/>
          <w:sz w:val="15"/>
        </w:rPr>
        <w:t xml:space="preserve">1 </w:t>
      </w:r>
      <w:r>
        <w:rPr>
          <w:rFonts w:ascii="Symbol" w:hAnsi="Symbol" w:eastAsia="Symbol"/>
          <w:b/>
          <w:color w:val="auto"/>
          <w:sz w:val="26"/>
        </w:rPr>
        <w:t></w:t>
      </w:r>
      <w:r>
        <w:rPr>
          <w:rFonts w:eastAsia="Times New Roman"/>
          <w:b/>
          <w:color w:val="auto"/>
          <w:sz w:val="26"/>
        </w:rPr>
        <w:t xml:space="preserve"> </w:t>
      </w:r>
      <w:r>
        <w:rPr>
          <w:rFonts w:eastAsia="Times New Roman"/>
          <w:b/>
          <w:i/>
          <w:color w:val="auto"/>
          <w:sz w:val="26"/>
        </w:rPr>
        <w:t xml:space="preserve">X </w:t>
      </w:r>
      <w:r>
        <w:rPr>
          <w:rFonts w:eastAsia="Times New Roman"/>
          <w:b/>
          <w:color w:val="auto"/>
          <w:position w:val="-6"/>
          <w:sz w:val="15"/>
        </w:rPr>
        <w:t>2</w:t>
      </w:r>
      <w:r>
        <w:rPr>
          <w:rFonts w:eastAsia="Times New Roman"/>
          <w:b/>
          <w:i/>
          <w:color w:val="auto"/>
          <w:sz w:val="26"/>
        </w:rPr>
        <w:t>m</w:t>
      </w:r>
      <w:r>
        <w:rPr>
          <w:rFonts w:eastAsia="Times New Roman"/>
          <w:b/>
          <w:color w:val="auto"/>
          <w:position w:val="-6"/>
          <w:sz w:val="15"/>
        </w:rPr>
        <w:t xml:space="preserve">2 </w:t>
      </w:r>
      <w:r>
        <w:rPr>
          <w:rFonts w:ascii="Symbol" w:hAnsi="Symbol" w:eastAsia="Symbol"/>
          <w:b/>
          <w:color w:val="auto"/>
          <w:sz w:val="26"/>
        </w:rPr>
        <w:t></w:t>
      </w:r>
      <w:r>
        <w:rPr>
          <w:rFonts w:ascii="MT Extra" w:hAnsi="MT Extra" w:eastAsia="MT Extra"/>
          <w:b/>
          <w:color w:val="auto"/>
          <w:sz w:val="26"/>
        </w:rPr>
        <w:t></w:t>
      </w:r>
      <w:r>
        <w:rPr>
          <w:rFonts w:ascii="Symbol" w:hAnsi="Symbol" w:eastAsia="Symbol"/>
          <w:b/>
          <w:color w:val="auto"/>
          <w:sz w:val="26"/>
        </w:rPr>
        <w:t></w:t>
      </w:r>
      <w:r>
        <w:rPr>
          <w:rFonts w:eastAsia="Times New Roman"/>
          <w:b/>
          <w:color w:val="auto"/>
          <w:sz w:val="26"/>
        </w:rPr>
        <w:t xml:space="preserve"> </w:t>
      </w:r>
      <w:r>
        <w:rPr>
          <w:rFonts w:eastAsia="Times New Roman"/>
          <w:b/>
          <w:i/>
          <w:color w:val="auto"/>
          <w:sz w:val="26"/>
        </w:rPr>
        <w:t>X</w:t>
      </w:r>
      <w:r>
        <w:rPr>
          <w:rFonts w:eastAsia="Times New Roman"/>
          <w:b/>
          <w:i/>
          <w:color w:val="auto"/>
          <w:position w:val="-6"/>
          <w:sz w:val="15"/>
        </w:rPr>
        <w:t>n</w:t>
      </w:r>
      <w:r>
        <w:rPr>
          <w:rFonts w:eastAsia="Times New Roman"/>
          <w:b/>
          <w:i/>
          <w:color w:val="auto"/>
          <w:sz w:val="26"/>
        </w:rPr>
        <w:t>m</w:t>
      </w:r>
      <w:r>
        <w:rPr>
          <w:rFonts w:eastAsia="Times New Roman"/>
          <w:b/>
          <w:i/>
          <w:color w:val="auto"/>
          <w:position w:val="-6"/>
          <w:sz w:val="15"/>
        </w:rPr>
        <w:t xml:space="preserve">n </w:t>
      </w:r>
      <w:r>
        <w:rPr>
          <w:b/>
          <w:color w:val="auto"/>
          <w:position w:val="-18"/>
          <w:sz w:val="32"/>
        </w:rPr>
        <w:t>，</w:t>
      </w:r>
    </w:p>
    <w:p w14:paraId="04D5B0D6">
      <w:pPr>
        <w:snapToGrid w:val="0"/>
        <w:spacing w:line="343" w:lineRule="exact"/>
        <w:ind w:left="125" w:right="167"/>
        <w:jc w:val="center"/>
        <w:rPr>
          <w:b/>
          <w:i/>
          <w:color w:val="auto"/>
          <w:sz w:val="15"/>
        </w:rPr>
      </w:pPr>
      <w:r>
        <w:rPr>
          <w:b/>
          <w:i/>
          <w:color w:val="auto"/>
          <w:sz w:val="26"/>
        </w:rPr>
        <w:t>m</w:t>
      </w:r>
      <w:r>
        <w:rPr>
          <w:b/>
          <w:color w:val="auto"/>
          <w:position w:val="-6"/>
          <w:sz w:val="15"/>
        </w:rPr>
        <w:t xml:space="preserve">1  </w:t>
      </w:r>
      <w:r>
        <w:rPr>
          <w:rFonts w:ascii="Symbol" w:hAnsi="Symbol"/>
          <w:b/>
          <w:color w:val="auto"/>
          <w:sz w:val="26"/>
        </w:rPr>
        <w:t></w:t>
      </w:r>
      <w:r>
        <w:rPr>
          <w:b/>
          <w:color w:val="auto"/>
          <w:sz w:val="26"/>
        </w:rPr>
        <w:t xml:space="preserve"> </w:t>
      </w:r>
      <w:r>
        <w:rPr>
          <w:b/>
          <w:i/>
          <w:color w:val="auto"/>
          <w:sz w:val="26"/>
        </w:rPr>
        <w:t>m</w:t>
      </w:r>
      <w:r>
        <w:rPr>
          <w:b/>
          <w:color w:val="auto"/>
          <w:position w:val="-6"/>
          <w:sz w:val="15"/>
        </w:rPr>
        <w:t xml:space="preserve">2  </w:t>
      </w:r>
      <w:r>
        <w:rPr>
          <w:rFonts w:ascii="Symbol" w:hAnsi="Symbol"/>
          <w:b/>
          <w:color w:val="auto"/>
          <w:sz w:val="26"/>
        </w:rPr>
        <w:t></w:t>
      </w:r>
      <w:r>
        <w:rPr>
          <w:rFonts w:ascii="MT Extra" w:hAnsi="MT Extra"/>
          <w:b/>
          <w:color w:val="auto"/>
          <w:sz w:val="26"/>
        </w:rPr>
        <w:t></w:t>
      </w:r>
      <w:r>
        <w:rPr>
          <w:rFonts w:ascii="Symbol" w:hAnsi="Symbol"/>
          <w:b/>
          <w:color w:val="auto"/>
          <w:sz w:val="26"/>
        </w:rPr>
        <w:t></w:t>
      </w:r>
      <w:r>
        <w:rPr>
          <w:b/>
          <w:color w:val="auto"/>
          <w:sz w:val="26"/>
        </w:rPr>
        <w:t xml:space="preserve"> </w:t>
      </w:r>
      <w:r>
        <w:rPr>
          <w:b/>
          <w:i/>
          <w:color w:val="auto"/>
          <w:sz w:val="26"/>
        </w:rPr>
        <w:t>m</w:t>
      </w:r>
      <w:r>
        <w:rPr>
          <w:b/>
          <w:i/>
          <w:color w:val="auto"/>
          <w:position w:val="-6"/>
          <w:sz w:val="15"/>
        </w:rPr>
        <w:t>n</w:t>
      </w:r>
    </w:p>
    <w:p w14:paraId="5883C68B">
      <w:pPr>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其中 A 为智育素质积分， X</w:t>
      </w:r>
      <w:r>
        <w:rPr>
          <w:rFonts w:hint="eastAsia" w:ascii="仿宋_GB2312" w:eastAsia="仿宋_GB2312"/>
          <w:color w:val="auto"/>
          <w:sz w:val="32"/>
          <w:szCs w:val="32"/>
          <w:vertAlign w:val="subscript"/>
        </w:rPr>
        <w:t>n</w:t>
      </w:r>
      <w:r>
        <w:rPr>
          <w:rFonts w:hint="eastAsia" w:ascii="仿宋_GB2312" w:eastAsia="仿宋_GB2312"/>
          <w:color w:val="auto"/>
          <w:sz w:val="30"/>
          <w:szCs w:val="30"/>
        </w:rPr>
        <w:t xml:space="preserve"> 为第n 门课的成绩， m</w:t>
      </w:r>
      <w:r>
        <w:rPr>
          <w:rFonts w:hint="eastAsia" w:ascii="仿宋_GB2312" w:eastAsia="仿宋_GB2312"/>
          <w:color w:val="auto"/>
          <w:sz w:val="32"/>
          <w:szCs w:val="32"/>
          <w:vertAlign w:val="subscript"/>
        </w:rPr>
        <w:t>n</w:t>
      </w:r>
      <w:r>
        <w:rPr>
          <w:rFonts w:hint="eastAsia" w:ascii="仿宋_GB2312" w:eastAsia="仿宋_GB2312"/>
          <w:color w:val="auto"/>
          <w:sz w:val="30"/>
          <w:szCs w:val="30"/>
        </w:rPr>
        <w:t xml:space="preserve"> 为第n 门课学分数。</w:t>
      </w:r>
    </w:p>
    <w:p w14:paraId="288F2606">
      <w:pPr>
        <w:ind w:firstLine="600" w:firstLineChars="200"/>
        <w:rPr>
          <w:rFonts w:ascii="仿宋_GB2312" w:eastAsia="仿宋_GB2312"/>
          <w:color w:val="auto"/>
          <w:sz w:val="30"/>
          <w:szCs w:val="30"/>
        </w:rPr>
      </w:pPr>
      <w:r>
        <w:rPr>
          <w:rFonts w:hint="eastAsia" w:ascii="仿宋_GB2312" w:eastAsia="仿宋_GB2312"/>
          <w:color w:val="auto"/>
          <w:sz w:val="30"/>
          <w:szCs w:val="30"/>
        </w:rPr>
        <w:t>2、</w:t>
      </w:r>
      <w:r>
        <w:rPr>
          <w:rFonts w:hint="eastAsia" w:ascii="仿宋_GB2312" w:eastAsia="仿宋_GB2312"/>
          <w:color w:val="auto"/>
          <w:sz w:val="30"/>
          <w:szCs w:val="30"/>
          <w:lang w:val="en-US" w:eastAsia="zh-CN"/>
        </w:rPr>
        <w:t>专业</w:t>
      </w:r>
      <w:r>
        <w:rPr>
          <w:rFonts w:hint="eastAsia" w:ascii="仿宋_GB2312" w:eastAsia="仿宋_GB2312"/>
          <w:color w:val="auto"/>
          <w:sz w:val="30"/>
          <w:szCs w:val="30"/>
        </w:rPr>
        <w:t>选修课成绩纳入综合测评。</w:t>
      </w:r>
    </w:p>
    <w:p w14:paraId="62427C45">
      <w:pPr>
        <w:ind w:firstLine="600" w:firstLineChars="200"/>
        <w:rPr>
          <w:rFonts w:ascii="仿宋_GB2312" w:eastAsia="仿宋_GB2312"/>
          <w:color w:val="auto"/>
          <w:sz w:val="30"/>
          <w:szCs w:val="30"/>
        </w:rPr>
      </w:pPr>
      <w:r>
        <w:rPr>
          <w:rFonts w:hint="eastAsia" w:ascii="仿宋_GB2312" w:eastAsia="仿宋_GB2312"/>
          <w:color w:val="auto"/>
          <w:sz w:val="30"/>
          <w:szCs w:val="30"/>
        </w:rPr>
        <w:t>3、各门课程考核成绩以百分制计算，若为五记分需换算成百分制，按优=95 分，良=85 分，中=75 分，及格=65 分，不及格=50 分的标准计算。</w:t>
      </w:r>
    </w:p>
    <w:p w14:paraId="3B77CD31">
      <w:pPr>
        <w:ind w:firstLine="600" w:firstLineChars="200"/>
        <w:rPr>
          <w:rFonts w:ascii="仿宋_GB2312" w:eastAsia="仿宋_GB2312"/>
          <w:color w:val="auto"/>
          <w:sz w:val="30"/>
          <w:szCs w:val="30"/>
        </w:rPr>
      </w:pPr>
      <w:r>
        <w:rPr>
          <w:rFonts w:hint="eastAsia" w:ascii="仿宋_GB2312" w:eastAsia="仿宋_GB2312"/>
          <w:color w:val="auto"/>
          <w:sz w:val="30"/>
          <w:szCs w:val="30"/>
        </w:rPr>
        <w:t>4、</w:t>
      </w:r>
      <w:r>
        <w:rPr>
          <w:rFonts w:hint="eastAsia" w:ascii="仿宋_GB2312" w:eastAsia="仿宋_GB2312"/>
          <w:color w:val="auto"/>
          <w:sz w:val="30"/>
          <w:szCs w:val="30"/>
          <w:lang w:val="en-US" w:eastAsia="zh-CN"/>
        </w:rPr>
        <w:t>旷考、考试违纪和作弊的课程以零分计入，不及格课程以首次考试成绩计入，</w:t>
      </w:r>
      <w:r>
        <w:rPr>
          <w:rFonts w:hint="eastAsia" w:ascii="仿宋_GB2312" w:eastAsia="仿宋_GB2312"/>
          <w:color w:val="auto"/>
          <w:sz w:val="30"/>
          <w:szCs w:val="30"/>
        </w:rPr>
        <w:t>缓考</w:t>
      </w:r>
      <w:r>
        <w:rPr>
          <w:rFonts w:hint="eastAsia" w:ascii="仿宋_GB2312" w:eastAsia="仿宋_GB2312"/>
          <w:color w:val="auto"/>
          <w:sz w:val="30"/>
          <w:szCs w:val="30"/>
          <w:lang w:val="en-US" w:eastAsia="zh-CN"/>
        </w:rPr>
        <w:t>课程</w:t>
      </w:r>
      <w:r>
        <w:rPr>
          <w:rFonts w:hint="eastAsia" w:ascii="仿宋_GB2312" w:eastAsia="仿宋_GB2312"/>
          <w:color w:val="auto"/>
          <w:sz w:val="30"/>
          <w:szCs w:val="30"/>
        </w:rPr>
        <w:t>按缓考成绩计，</w:t>
      </w:r>
      <w:r>
        <w:rPr>
          <w:rFonts w:hint="eastAsia" w:ascii="仿宋_GB2312" w:eastAsia="仿宋_GB2312"/>
          <w:color w:val="auto"/>
          <w:sz w:val="30"/>
          <w:szCs w:val="30"/>
          <w:lang w:val="en-US" w:eastAsia="zh-CN"/>
        </w:rPr>
        <w:t>重修课程纳入重修当学年的智育素质测评</w:t>
      </w:r>
      <w:r>
        <w:rPr>
          <w:rFonts w:hint="eastAsia" w:ascii="仿宋_GB2312" w:eastAsia="仿宋_GB2312"/>
          <w:color w:val="auto"/>
          <w:sz w:val="30"/>
          <w:szCs w:val="30"/>
        </w:rPr>
        <w:t>。</w:t>
      </w:r>
    </w:p>
    <w:p w14:paraId="5368271A">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5、</w:t>
      </w:r>
      <w:r>
        <w:rPr>
          <w:rFonts w:hint="eastAsia" w:ascii="仿宋_GB2312" w:eastAsia="仿宋_GB2312"/>
          <w:color w:val="auto"/>
          <w:sz w:val="30"/>
          <w:szCs w:val="30"/>
          <w:lang w:val="en-US" w:eastAsia="zh-CN"/>
        </w:rPr>
        <w:t>体育课成绩不纳入智育素质测评。</w:t>
      </w:r>
    </w:p>
    <w:p w14:paraId="1C1F6582">
      <w:pPr>
        <w:ind w:firstLine="600" w:firstLineChars="200"/>
        <w:rPr>
          <w:rFonts w:ascii="仿宋_GB2312" w:eastAsia="仿宋_GB2312"/>
          <w:color w:val="auto"/>
          <w:sz w:val="30"/>
          <w:szCs w:val="30"/>
        </w:rPr>
      </w:pPr>
      <w:r>
        <w:rPr>
          <w:rFonts w:hint="eastAsia" w:ascii="仿宋_GB2312" w:eastAsia="仿宋_GB2312"/>
          <w:color w:val="auto"/>
          <w:sz w:val="30"/>
          <w:szCs w:val="30"/>
          <w:lang w:val="en-US" w:eastAsia="zh-CN"/>
        </w:rPr>
        <w:t>6、</w:t>
      </w:r>
      <w:r>
        <w:rPr>
          <w:rFonts w:hint="eastAsia" w:ascii="仿宋_GB2312" w:eastAsia="仿宋_GB2312"/>
          <w:color w:val="auto"/>
          <w:sz w:val="30"/>
          <w:szCs w:val="30"/>
        </w:rPr>
        <w:t>参加顶岗支教、国培计划等学校组织的实习实训安排的学生，实习实训学期的智育素质积分以实习实训单位与学院联合提供的最终考核成绩为准。</w:t>
      </w:r>
    </w:p>
    <w:p w14:paraId="20CD5E41">
      <w:pPr>
        <w:ind w:firstLine="602" w:firstLineChars="200"/>
        <w:rPr>
          <w:rFonts w:ascii="仿宋_GB2312" w:eastAsia="仿宋_GB2312"/>
          <w:b/>
          <w:color w:val="auto"/>
          <w:sz w:val="30"/>
          <w:szCs w:val="30"/>
        </w:rPr>
      </w:pPr>
      <w:r>
        <w:rPr>
          <w:rFonts w:hint="eastAsia" w:ascii="仿宋_GB2312" w:eastAsia="仿宋_GB2312"/>
          <w:b/>
          <w:color w:val="auto"/>
          <w:sz w:val="30"/>
          <w:szCs w:val="30"/>
        </w:rPr>
        <w:t>（二）实行学分制条件下智育素质测评方法</w:t>
      </w:r>
    </w:p>
    <w:p w14:paraId="4ED9C34D">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根据学生平均学分绩点（ GPA）换算成智育成绩，换算公式为A =(平均学分绩点+5)×10，其中 A 为智育素质积分。平均学分绩点按教务系统提供为准。</w:t>
      </w:r>
    </w:p>
    <w:p w14:paraId="0941479A">
      <w:pPr>
        <w:ind w:firstLine="596" w:firstLineChars="198"/>
        <w:rPr>
          <w:rFonts w:ascii="仿宋_GB2312" w:eastAsia="仿宋_GB2312"/>
          <w:color w:val="auto"/>
          <w:sz w:val="30"/>
          <w:szCs w:val="30"/>
        </w:rPr>
      </w:pPr>
      <w:r>
        <w:rPr>
          <w:rFonts w:hint="eastAsia" w:ascii="仿宋_GB2312" w:eastAsia="仿宋_GB2312"/>
          <w:b/>
          <w:color w:val="auto"/>
          <w:sz w:val="30"/>
          <w:szCs w:val="30"/>
        </w:rPr>
        <w:t>第</w:t>
      </w:r>
      <w:r>
        <w:rPr>
          <w:rFonts w:hint="eastAsia" w:ascii="仿宋_GB2312" w:eastAsia="仿宋_GB2312"/>
          <w:b/>
          <w:color w:val="auto"/>
          <w:sz w:val="30"/>
          <w:szCs w:val="30"/>
          <w:lang w:val="en-US" w:eastAsia="zh-CN"/>
        </w:rPr>
        <w:t>八</w:t>
      </w:r>
      <w:r>
        <w:rPr>
          <w:rFonts w:hint="eastAsia" w:ascii="仿宋_GB2312" w:eastAsia="仿宋_GB2312"/>
          <w:b/>
          <w:color w:val="auto"/>
          <w:sz w:val="30"/>
          <w:szCs w:val="30"/>
        </w:rPr>
        <w:t>条</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身心</w:t>
      </w:r>
      <w:r>
        <w:rPr>
          <w:rFonts w:hint="eastAsia" w:ascii="仿宋_GB2312" w:eastAsia="仿宋_GB2312"/>
          <w:color w:val="auto"/>
          <w:sz w:val="30"/>
          <w:szCs w:val="30"/>
        </w:rPr>
        <w:t>素质测评</w:t>
      </w:r>
    </w:p>
    <w:p w14:paraId="0788F392">
      <w:pPr>
        <w:ind w:firstLine="600" w:firstLineChars="200"/>
        <w:rPr>
          <w:rFonts w:hint="eastAsia" w:ascii="仿宋_GB2312" w:eastAsia="仿宋_GB2312"/>
          <w:color w:val="auto"/>
          <w:sz w:val="30"/>
          <w:szCs w:val="30"/>
        </w:rPr>
      </w:pPr>
      <w:r>
        <w:rPr>
          <w:rFonts w:hint="eastAsia" w:ascii="仿宋_GB2312" w:eastAsia="仿宋_GB2312"/>
          <w:color w:val="auto"/>
          <w:sz w:val="30"/>
          <w:szCs w:val="30"/>
          <w:lang w:val="en-US" w:eastAsia="zh-CN"/>
        </w:rPr>
        <w:t>身心素质测评主要考察学生的身体素质和身心</w:t>
      </w:r>
      <w:r>
        <w:rPr>
          <w:rFonts w:hint="default" w:ascii="仿宋_GB2312" w:eastAsia="仿宋_GB2312"/>
          <w:color w:val="auto"/>
          <w:sz w:val="30"/>
          <w:szCs w:val="30"/>
          <w:lang w:val="en-US" w:eastAsia="zh-CN"/>
        </w:rPr>
        <w:t>健康情况，包括学生的体育课程、体质测试成绩，以及学生学习身心健康知识、参与体育锻炼和竞赛活动、参加心理健康教育活动等方面的积极性和具体表现。</w:t>
      </w:r>
    </w:p>
    <w:p w14:paraId="0EEB7C7B">
      <w:pPr>
        <w:ind w:firstLine="600" w:firstLineChars="200"/>
        <w:rPr>
          <w:rFonts w:hint="default" w:ascii="仿宋_GB2312" w:eastAsia="仿宋_GB2312"/>
          <w:b w:val="0"/>
          <w:bCs w:val="0"/>
          <w:color w:val="auto"/>
          <w:sz w:val="30"/>
          <w:szCs w:val="30"/>
          <w:lang w:val="en-US" w:eastAsia="zh-CN"/>
        </w:rPr>
      </w:pPr>
      <w:r>
        <w:rPr>
          <w:rFonts w:hint="eastAsia" w:ascii="仿宋_GB2312" w:eastAsia="仿宋_GB2312"/>
          <w:b w:val="0"/>
          <w:bCs w:val="0"/>
          <w:color w:val="auto"/>
          <w:sz w:val="30"/>
          <w:szCs w:val="30"/>
          <w:lang w:val="en-US" w:eastAsia="zh-CN"/>
        </w:rPr>
        <w:t>1、测评方法</w:t>
      </w:r>
    </w:p>
    <w:p w14:paraId="63FC444A">
      <w:pPr>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（1）开设体育课程的年级，身心素质测评得分=体育课成绩*50%+</w:t>
      </w:r>
      <w:r>
        <w:rPr>
          <w:rFonts w:hint="default" w:ascii="仿宋_GB2312" w:eastAsia="仿宋_GB2312"/>
          <w:color w:val="auto"/>
          <w:sz w:val="30"/>
          <w:szCs w:val="30"/>
          <w:lang w:val="en-US" w:eastAsia="zh-CN"/>
        </w:rPr>
        <w:t xml:space="preserve">体质健康测试*20%+加分，满分为 100 分； </w:t>
      </w:r>
    </w:p>
    <w:p w14:paraId="42529927">
      <w:pPr>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w:t>
      </w:r>
      <w:r>
        <w:rPr>
          <w:rFonts w:hint="default" w:ascii="仿宋_GB2312" w:eastAsia="仿宋_GB2312"/>
          <w:color w:val="auto"/>
          <w:sz w:val="30"/>
          <w:szCs w:val="30"/>
          <w:lang w:val="en-US" w:eastAsia="zh-CN"/>
        </w:rPr>
        <w:t>不开设体育课程的年级，身体素质测评得分=体质测试成绩*80%+加分，满分为 100 分。</w:t>
      </w:r>
    </w:p>
    <w:p w14:paraId="75EDD45B">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2、身心素质测评减分</w:t>
      </w:r>
      <w:r>
        <w:rPr>
          <w:rFonts w:hint="default" w:ascii="仿宋_GB2312" w:eastAsia="仿宋_GB2312"/>
          <w:color w:val="auto"/>
          <w:sz w:val="30"/>
          <w:szCs w:val="30"/>
          <w:lang w:val="en-US" w:eastAsia="zh-CN"/>
        </w:rPr>
        <w:t>试用</w:t>
      </w:r>
      <w:r>
        <w:rPr>
          <w:rFonts w:hint="eastAsia" w:ascii="仿宋_GB2312" w:eastAsia="仿宋_GB2312"/>
          <w:color w:val="auto"/>
          <w:sz w:val="30"/>
          <w:szCs w:val="30"/>
          <w:lang w:val="en-US" w:eastAsia="zh-CN"/>
        </w:rPr>
        <w:t>适用条件</w:t>
      </w:r>
    </w:p>
    <w:p w14:paraId="2E7DF9E9">
      <w:pPr>
        <w:ind w:firstLine="600" w:firstLineChars="200"/>
        <w:rPr>
          <w:rFonts w:ascii="仿宋_GB2312" w:eastAsia="仿宋_GB2312"/>
          <w:color w:val="auto"/>
          <w:sz w:val="30"/>
          <w:szCs w:val="30"/>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本学年体质健康测试和阳光长跑考核不达标者分别扣 10分。</w:t>
      </w:r>
    </w:p>
    <w:p w14:paraId="5CF0681D">
      <w:pPr>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（2）阳光长跑作弊的按0分计算。</w:t>
      </w:r>
    </w:p>
    <w:p w14:paraId="30E34D56">
      <w:pPr>
        <w:ind w:firstLine="600" w:firstLineChars="200"/>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3、身心素质测评加分适用条件</w:t>
      </w:r>
    </w:p>
    <w:p w14:paraId="51727E6F">
      <w:pPr>
        <w:keepNext w:val="0"/>
        <w:keepLines w:val="0"/>
        <w:widowControl/>
        <w:numPr>
          <w:ilvl w:val="0"/>
          <w:numId w:val="0"/>
        </w:numPr>
        <w:suppressLineNumbers w:val="0"/>
        <w:ind w:firstLine="620" w:firstLineChars="200"/>
        <w:jc w:val="left"/>
        <w:rPr>
          <w:rFonts w:hint="default"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（1）</w:t>
      </w:r>
      <w:r>
        <w:rPr>
          <w:rFonts w:hint="default" w:ascii="仿宋_GB2312" w:hAnsi="宋体" w:eastAsia="仿宋_GB2312" w:cs="仿宋_GB2312"/>
          <w:color w:val="auto"/>
          <w:kern w:val="0"/>
          <w:sz w:val="31"/>
          <w:szCs w:val="31"/>
          <w:lang w:val="en-US" w:eastAsia="zh-CN" w:bidi="ar"/>
        </w:rPr>
        <w:t xml:space="preserve">参加各级各类心理健康教育活动，以及在相关活动中获得个人或集体荣誉； </w:t>
      </w:r>
    </w:p>
    <w:tbl>
      <w:tblPr>
        <w:tblStyle w:val="6"/>
        <w:tblW w:w="8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2160"/>
        <w:gridCol w:w="1620"/>
        <w:gridCol w:w="1620"/>
        <w:gridCol w:w="1620"/>
      </w:tblGrid>
      <w:tr w14:paraId="2E5E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60" w:type="dxa"/>
          </w:tcPr>
          <w:p w14:paraId="7C9E0FB7">
            <w:pPr>
              <w:pStyle w:val="12"/>
              <w:spacing w:before="22" w:line="360" w:lineRule="auto"/>
              <w:ind w:left="9"/>
              <w:jc w:val="center"/>
              <w:rPr>
                <w:rFonts w:ascii="仿宋_GB2312" w:eastAsia="仿宋_GB2312"/>
                <w:color w:val="auto"/>
                <w:sz w:val="30"/>
                <w:szCs w:val="30"/>
              </w:rPr>
            </w:pPr>
            <w:r>
              <w:rPr>
                <w:rFonts w:hint="eastAsia" w:ascii="仿宋_GB2312" w:eastAsia="仿宋_GB2312"/>
                <w:color w:val="auto"/>
                <w:sz w:val="30"/>
                <w:szCs w:val="30"/>
              </w:rPr>
              <w:t>等级</w:t>
            </w:r>
          </w:p>
        </w:tc>
        <w:tc>
          <w:tcPr>
            <w:tcW w:w="2160" w:type="dxa"/>
          </w:tcPr>
          <w:p w14:paraId="302467D5">
            <w:pPr>
              <w:pStyle w:val="12"/>
              <w:spacing w:before="22" w:line="360" w:lineRule="auto"/>
              <w:ind w:left="609" w:right="600"/>
              <w:jc w:val="center"/>
              <w:rPr>
                <w:rFonts w:ascii="仿宋_GB2312" w:eastAsia="仿宋_GB2312"/>
                <w:color w:val="auto"/>
                <w:sz w:val="30"/>
                <w:szCs w:val="30"/>
              </w:rPr>
            </w:pPr>
            <w:r>
              <w:rPr>
                <w:rFonts w:hint="eastAsia" w:ascii="仿宋_GB2312" w:eastAsia="仿宋_GB2312"/>
                <w:color w:val="auto"/>
                <w:sz w:val="30"/>
                <w:szCs w:val="30"/>
              </w:rPr>
              <w:t>国家级</w:t>
            </w:r>
          </w:p>
        </w:tc>
        <w:tc>
          <w:tcPr>
            <w:tcW w:w="1620" w:type="dxa"/>
          </w:tcPr>
          <w:p w14:paraId="4FB2E29F">
            <w:pPr>
              <w:pStyle w:val="12"/>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省部级</w:t>
            </w:r>
          </w:p>
        </w:tc>
        <w:tc>
          <w:tcPr>
            <w:tcW w:w="1620" w:type="dxa"/>
          </w:tcPr>
          <w:p w14:paraId="3AC220F2">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校</w:t>
            </w:r>
            <w:r>
              <w:rPr>
                <w:rFonts w:hint="eastAsia" w:ascii="仿宋_GB2312" w:eastAsia="仿宋_GB2312"/>
                <w:color w:val="auto"/>
                <w:sz w:val="30"/>
                <w:szCs w:val="30"/>
              </w:rPr>
              <w:tab/>
            </w:r>
            <w:r>
              <w:rPr>
                <w:rFonts w:hint="eastAsia" w:ascii="仿宋_GB2312" w:eastAsia="仿宋_GB2312"/>
                <w:color w:val="auto"/>
                <w:sz w:val="30"/>
                <w:szCs w:val="30"/>
              </w:rPr>
              <w:t>级</w:t>
            </w:r>
          </w:p>
        </w:tc>
        <w:tc>
          <w:tcPr>
            <w:tcW w:w="1620" w:type="dxa"/>
          </w:tcPr>
          <w:p w14:paraId="4742484B">
            <w:pPr>
              <w:pStyle w:val="12"/>
              <w:tabs>
                <w:tab w:val="left" w:pos="607"/>
              </w:tabs>
              <w:spacing w:before="22" w:line="360" w:lineRule="auto"/>
              <w:ind w:left="7"/>
              <w:jc w:val="center"/>
              <w:rPr>
                <w:rFonts w:ascii="仿宋_GB2312" w:eastAsia="仿宋_GB2312"/>
                <w:color w:val="auto"/>
                <w:sz w:val="30"/>
                <w:szCs w:val="30"/>
              </w:rPr>
            </w:pPr>
            <w:r>
              <w:rPr>
                <w:rFonts w:hint="eastAsia" w:ascii="仿宋_GB2312" w:eastAsia="仿宋_GB2312"/>
                <w:color w:val="auto"/>
                <w:sz w:val="30"/>
                <w:szCs w:val="30"/>
              </w:rPr>
              <w:t>院</w:t>
            </w:r>
            <w:r>
              <w:rPr>
                <w:rFonts w:hint="eastAsia" w:ascii="仿宋_GB2312" w:eastAsia="仿宋_GB2312"/>
                <w:color w:val="auto"/>
                <w:sz w:val="30"/>
                <w:szCs w:val="30"/>
              </w:rPr>
              <w:tab/>
            </w:r>
            <w:r>
              <w:rPr>
                <w:rFonts w:hint="eastAsia" w:ascii="仿宋_GB2312" w:eastAsia="仿宋_GB2312"/>
                <w:color w:val="auto"/>
                <w:sz w:val="30"/>
                <w:szCs w:val="30"/>
              </w:rPr>
              <w:t>级</w:t>
            </w:r>
          </w:p>
        </w:tc>
      </w:tr>
      <w:tr w14:paraId="1A32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60" w:type="dxa"/>
          </w:tcPr>
          <w:p w14:paraId="624F2F8B">
            <w:pPr>
              <w:pStyle w:val="12"/>
              <w:spacing w:before="21" w:line="360" w:lineRule="auto"/>
              <w:ind w:left="9"/>
              <w:jc w:val="center"/>
              <w:rPr>
                <w:rFonts w:ascii="仿宋_GB2312" w:eastAsia="仿宋_GB2312"/>
                <w:color w:val="auto"/>
                <w:sz w:val="30"/>
                <w:szCs w:val="30"/>
              </w:rPr>
            </w:pPr>
            <w:r>
              <w:rPr>
                <w:rFonts w:hint="eastAsia" w:ascii="仿宋_GB2312" w:eastAsia="仿宋_GB2312"/>
                <w:color w:val="auto"/>
                <w:sz w:val="30"/>
                <w:szCs w:val="30"/>
              </w:rPr>
              <w:t>分值</w:t>
            </w:r>
          </w:p>
        </w:tc>
        <w:tc>
          <w:tcPr>
            <w:tcW w:w="2160" w:type="dxa"/>
          </w:tcPr>
          <w:p w14:paraId="1AA821E4">
            <w:pPr>
              <w:pStyle w:val="12"/>
              <w:spacing w:line="360" w:lineRule="auto"/>
              <w:ind w:left="609" w:right="598"/>
              <w:jc w:val="center"/>
              <w:rPr>
                <w:rFonts w:hint="eastAsia" w:ascii="仿宋_GB2312" w:eastAsia="仿宋_GB2312"/>
                <w:color w:val="auto"/>
                <w:sz w:val="30"/>
                <w:szCs w:val="30"/>
                <w:lang w:eastAsia="zh-CN"/>
              </w:rPr>
            </w:pPr>
            <w:r>
              <w:rPr>
                <w:rFonts w:hint="eastAsia" w:ascii="仿宋_GB2312" w:eastAsia="仿宋_GB2312"/>
                <w:color w:val="auto"/>
                <w:sz w:val="30"/>
                <w:szCs w:val="30"/>
              </w:rPr>
              <w:t>1</w:t>
            </w:r>
            <w:r>
              <w:rPr>
                <w:rFonts w:hint="eastAsia" w:ascii="仿宋_GB2312" w:eastAsia="仿宋_GB2312"/>
                <w:color w:val="auto"/>
                <w:sz w:val="30"/>
                <w:szCs w:val="30"/>
                <w:lang w:val="en-US" w:eastAsia="zh-CN"/>
              </w:rPr>
              <w:t>0</w:t>
            </w:r>
          </w:p>
        </w:tc>
        <w:tc>
          <w:tcPr>
            <w:tcW w:w="1620" w:type="dxa"/>
          </w:tcPr>
          <w:p w14:paraId="43F4A485">
            <w:pPr>
              <w:pStyle w:val="12"/>
              <w:spacing w:line="360" w:lineRule="auto"/>
              <w:ind w:left="8"/>
              <w:jc w:val="center"/>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8</w:t>
            </w:r>
          </w:p>
        </w:tc>
        <w:tc>
          <w:tcPr>
            <w:tcW w:w="1620" w:type="dxa"/>
          </w:tcPr>
          <w:p w14:paraId="141DD9B3">
            <w:pPr>
              <w:pStyle w:val="12"/>
              <w:spacing w:line="360" w:lineRule="auto"/>
              <w:ind w:left="11"/>
              <w:jc w:val="center"/>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5</w:t>
            </w:r>
          </w:p>
        </w:tc>
        <w:tc>
          <w:tcPr>
            <w:tcW w:w="1620" w:type="dxa"/>
          </w:tcPr>
          <w:p w14:paraId="6C972D3D">
            <w:pPr>
              <w:pStyle w:val="12"/>
              <w:spacing w:line="360" w:lineRule="auto"/>
              <w:ind w:left="11"/>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3</w:t>
            </w:r>
          </w:p>
        </w:tc>
      </w:tr>
    </w:tbl>
    <w:p w14:paraId="6897AFBA">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（2）</w:t>
      </w:r>
      <w:r>
        <w:rPr>
          <w:rFonts w:hint="default" w:ascii="仿宋_GB2312" w:hAnsi="宋体" w:eastAsia="仿宋_GB2312" w:cs="仿宋_GB2312"/>
          <w:color w:val="auto"/>
          <w:kern w:val="0"/>
          <w:sz w:val="31"/>
          <w:szCs w:val="31"/>
          <w:lang w:val="en-US" w:eastAsia="zh-CN" w:bidi="ar"/>
        </w:rPr>
        <w:t>学习身心健康知识，</w:t>
      </w:r>
      <w:r>
        <w:rPr>
          <w:rFonts w:hint="eastAsia" w:ascii="仿宋_GB2312" w:hAnsi="宋体" w:eastAsia="仿宋_GB2312" w:cs="仿宋_GB2312"/>
          <w:color w:val="auto"/>
          <w:kern w:val="0"/>
          <w:sz w:val="31"/>
          <w:szCs w:val="31"/>
          <w:lang w:val="en-US" w:eastAsia="zh-CN" w:bidi="ar"/>
        </w:rPr>
        <w:t>积极</w:t>
      </w:r>
      <w:r>
        <w:rPr>
          <w:rFonts w:hint="default" w:ascii="仿宋_GB2312" w:hAnsi="宋体" w:eastAsia="仿宋_GB2312" w:cs="仿宋_GB2312"/>
          <w:color w:val="auto"/>
          <w:kern w:val="0"/>
          <w:sz w:val="31"/>
          <w:szCs w:val="31"/>
          <w:lang w:val="en-US" w:eastAsia="zh-CN" w:bidi="ar"/>
        </w:rPr>
        <w:t>参加身心健康知识测试</w:t>
      </w:r>
      <w:r>
        <w:rPr>
          <w:rFonts w:hint="eastAsia" w:ascii="仿宋_GB2312" w:hAnsi="宋体" w:eastAsia="仿宋_GB2312" w:cs="仿宋_GB2312"/>
          <w:color w:val="auto"/>
          <w:kern w:val="0"/>
          <w:sz w:val="31"/>
          <w:szCs w:val="31"/>
          <w:lang w:val="en-US" w:eastAsia="zh-CN" w:bidi="ar"/>
        </w:rPr>
        <w:t>，每次加1分，满分3分。</w:t>
      </w:r>
    </w:p>
    <w:p w14:paraId="786C8BC2">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（3）每学期阳光长跑次数</w:t>
      </w:r>
      <w:r>
        <w:rPr>
          <w:rFonts w:hint="default" w:ascii="仿宋_GB2312" w:hAnsi="宋体" w:eastAsia="仿宋_GB2312" w:cs="仿宋_GB2312"/>
          <w:color w:val="auto"/>
          <w:kern w:val="0"/>
          <w:sz w:val="31"/>
          <w:szCs w:val="31"/>
          <w:lang w:val="en-US" w:eastAsia="zh-CN" w:bidi="ar"/>
        </w:rPr>
        <w:t>40 次&gt;总次数≥25 次，在综</w:t>
      </w:r>
      <w:r>
        <w:rPr>
          <w:rFonts w:hint="eastAsia" w:ascii="仿宋_GB2312" w:hAnsi="宋体" w:eastAsia="仿宋_GB2312" w:cs="仿宋_GB2312"/>
          <w:color w:val="auto"/>
          <w:kern w:val="0"/>
          <w:sz w:val="31"/>
          <w:szCs w:val="31"/>
          <w:lang w:val="en-US" w:eastAsia="zh-CN" w:bidi="ar"/>
        </w:rPr>
        <w:t>合素质测评中身心素质模块加 3 分；总次数超过 40 次（含 40 次），在综合素质测评中身心素质模块再加 2 分。</w:t>
      </w:r>
    </w:p>
    <w:p w14:paraId="3AA279C8">
      <w:pPr>
        <w:ind w:firstLine="600" w:firstLineChars="200"/>
        <w:rPr>
          <w:rFonts w:ascii="仿宋_GB2312" w:eastAsia="仿宋_GB2312"/>
          <w:color w:val="auto"/>
          <w:sz w:val="30"/>
          <w:szCs w:val="30"/>
        </w:rPr>
      </w:pPr>
      <w:r>
        <w:rPr>
          <w:rFonts w:hint="eastAsia" w:ascii="仿宋_GB2312" w:eastAsia="仿宋_GB2312"/>
          <w:color w:val="auto"/>
          <w:sz w:val="30"/>
          <w:szCs w:val="30"/>
        </w:rPr>
        <w:t>（4）体育活动奖励加分：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529"/>
        <w:gridCol w:w="2646"/>
        <w:gridCol w:w="2520"/>
      </w:tblGrid>
      <w:tr w14:paraId="6EBF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496" w:type="dxa"/>
          </w:tcPr>
          <w:p w14:paraId="55937350">
            <w:pPr>
              <w:pStyle w:val="12"/>
              <w:tabs>
                <w:tab w:val="left" w:pos="611"/>
              </w:tabs>
              <w:spacing w:before="22"/>
              <w:ind w:left="11"/>
              <w:jc w:val="center"/>
              <w:rPr>
                <w:rFonts w:ascii="仿宋_GB2312" w:eastAsia="仿宋_GB2312"/>
                <w:color w:val="auto"/>
                <w:sz w:val="30"/>
              </w:rPr>
            </w:pPr>
            <w:r>
              <w:rPr>
                <w:rFonts w:hint="eastAsia" w:ascii="仿宋_GB2312" w:eastAsia="仿宋_GB2312"/>
                <w:color w:val="auto"/>
                <w:sz w:val="30"/>
              </w:rPr>
              <w:t>等</w:t>
            </w:r>
            <w:r>
              <w:rPr>
                <w:rFonts w:hint="eastAsia" w:ascii="仿宋_GB2312" w:eastAsia="仿宋_GB2312"/>
                <w:color w:val="auto"/>
                <w:sz w:val="30"/>
              </w:rPr>
              <w:tab/>
            </w:r>
            <w:r>
              <w:rPr>
                <w:rFonts w:hint="eastAsia" w:ascii="仿宋_GB2312" w:eastAsia="仿宋_GB2312"/>
                <w:color w:val="auto"/>
                <w:sz w:val="30"/>
              </w:rPr>
              <w:t>级</w:t>
            </w:r>
          </w:p>
        </w:tc>
        <w:tc>
          <w:tcPr>
            <w:tcW w:w="2529" w:type="dxa"/>
          </w:tcPr>
          <w:p w14:paraId="37AC0DD6">
            <w:pPr>
              <w:pStyle w:val="12"/>
              <w:spacing w:before="22"/>
              <w:ind w:left="689"/>
              <w:jc w:val="left"/>
              <w:rPr>
                <w:rFonts w:ascii="仿宋_GB2312" w:eastAsia="仿宋_GB2312"/>
                <w:color w:val="auto"/>
                <w:sz w:val="30"/>
              </w:rPr>
            </w:pPr>
            <w:r>
              <w:rPr>
                <w:rFonts w:hint="eastAsia" w:ascii="仿宋_GB2312" w:eastAsia="仿宋_GB2312"/>
                <w:color w:val="auto"/>
                <w:sz w:val="30"/>
              </w:rPr>
              <w:t>第 1-3 名</w:t>
            </w:r>
          </w:p>
        </w:tc>
        <w:tc>
          <w:tcPr>
            <w:tcW w:w="2646" w:type="dxa"/>
          </w:tcPr>
          <w:p w14:paraId="1263EB7D">
            <w:pPr>
              <w:pStyle w:val="12"/>
              <w:spacing w:before="22"/>
              <w:ind w:left="747"/>
              <w:jc w:val="left"/>
              <w:rPr>
                <w:rFonts w:ascii="仿宋_GB2312" w:eastAsia="仿宋_GB2312"/>
                <w:color w:val="auto"/>
                <w:sz w:val="30"/>
              </w:rPr>
            </w:pPr>
            <w:r>
              <w:rPr>
                <w:rFonts w:hint="eastAsia" w:ascii="仿宋_GB2312" w:eastAsia="仿宋_GB2312"/>
                <w:color w:val="auto"/>
                <w:sz w:val="30"/>
              </w:rPr>
              <w:t>第 4-8 名</w:t>
            </w:r>
          </w:p>
        </w:tc>
        <w:tc>
          <w:tcPr>
            <w:tcW w:w="2520" w:type="dxa"/>
          </w:tcPr>
          <w:p w14:paraId="408EE8C3">
            <w:pPr>
              <w:pStyle w:val="12"/>
              <w:spacing w:before="22"/>
              <w:ind w:left="508"/>
              <w:jc w:val="left"/>
              <w:rPr>
                <w:rFonts w:ascii="仿宋_GB2312" w:eastAsia="仿宋_GB2312"/>
                <w:color w:val="auto"/>
                <w:sz w:val="30"/>
              </w:rPr>
            </w:pPr>
            <w:r>
              <w:rPr>
                <w:rFonts w:hint="eastAsia" w:ascii="仿宋_GB2312" w:eastAsia="仿宋_GB2312"/>
                <w:color w:val="auto"/>
                <w:sz w:val="30"/>
              </w:rPr>
              <w:t>参赛未获奖</w:t>
            </w:r>
          </w:p>
        </w:tc>
      </w:tr>
      <w:tr w14:paraId="19DB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496" w:type="dxa"/>
          </w:tcPr>
          <w:p w14:paraId="1DAE7327">
            <w:pPr>
              <w:pStyle w:val="12"/>
              <w:spacing w:before="14"/>
              <w:ind w:left="298"/>
              <w:jc w:val="left"/>
              <w:rPr>
                <w:rFonts w:ascii="仿宋_GB2312" w:eastAsia="仿宋_GB2312"/>
                <w:color w:val="auto"/>
                <w:sz w:val="30"/>
              </w:rPr>
            </w:pPr>
            <w:r>
              <w:rPr>
                <w:rFonts w:hint="eastAsia" w:ascii="仿宋_GB2312" w:eastAsia="仿宋_GB2312"/>
                <w:color w:val="auto"/>
                <w:sz w:val="30"/>
              </w:rPr>
              <w:t>国家级</w:t>
            </w:r>
          </w:p>
          <w:p w14:paraId="711C7E7A">
            <w:pPr>
              <w:pStyle w:val="12"/>
              <w:spacing w:before="55"/>
              <w:ind w:left="298"/>
              <w:jc w:val="left"/>
              <w:rPr>
                <w:rFonts w:ascii="仿宋_GB2312" w:eastAsia="仿宋_GB2312"/>
                <w:color w:val="auto"/>
                <w:sz w:val="30"/>
              </w:rPr>
            </w:pPr>
            <w:r>
              <w:rPr>
                <w:rFonts w:hint="eastAsia" w:ascii="仿宋_GB2312" w:eastAsia="仿宋_GB2312"/>
                <w:color w:val="auto"/>
                <w:sz w:val="30"/>
              </w:rPr>
              <w:t>省部级</w:t>
            </w:r>
          </w:p>
        </w:tc>
        <w:tc>
          <w:tcPr>
            <w:tcW w:w="2529" w:type="dxa"/>
          </w:tcPr>
          <w:p w14:paraId="79FBD937">
            <w:pPr>
              <w:pStyle w:val="12"/>
              <w:spacing w:before="14"/>
              <w:ind w:left="360"/>
              <w:jc w:val="left"/>
              <w:rPr>
                <w:rFonts w:ascii="仿宋_GB2312" w:eastAsia="仿宋_GB2312"/>
                <w:color w:val="auto"/>
                <w:sz w:val="30"/>
              </w:rPr>
            </w:pPr>
            <w:r>
              <w:rPr>
                <w:rFonts w:hint="eastAsia" w:ascii="仿宋_GB2312" w:eastAsia="仿宋_GB2312"/>
                <w:color w:val="auto"/>
                <w:sz w:val="30"/>
              </w:rPr>
              <w:t>个人：7 分/人</w:t>
            </w:r>
          </w:p>
          <w:p w14:paraId="7D71E36F">
            <w:pPr>
              <w:pStyle w:val="12"/>
              <w:spacing w:before="55"/>
              <w:ind w:left="360"/>
              <w:jc w:val="left"/>
              <w:rPr>
                <w:rFonts w:ascii="仿宋_GB2312" w:eastAsia="仿宋_GB2312"/>
                <w:color w:val="auto"/>
                <w:sz w:val="30"/>
              </w:rPr>
            </w:pPr>
            <w:r>
              <w:rPr>
                <w:rFonts w:hint="eastAsia" w:ascii="仿宋_GB2312" w:eastAsia="仿宋_GB2312"/>
                <w:color w:val="auto"/>
                <w:sz w:val="30"/>
              </w:rPr>
              <w:t>团体：5 分/人</w:t>
            </w:r>
          </w:p>
        </w:tc>
        <w:tc>
          <w:tcPr>
            <w:tcW w:w="2646" w:type="dxa"/>
          </w:tcPr>
          <w:p w14:paraId="03C3C23D">
            <w:pPr>
              <w:pStyle w:val="12"/>
              <w:spacing w:before="14"/>
              <w:ind w:left="418"/>
              <w:jc w:val="left"/>
              <w:rPr>
                <w:rFonts w:ascii="仿宋_GB2312" w:eastAsia="仿宋_GB2312"/>
                <w:color w:val="auto"/>
                <w:sz w:val="30"/>
              </w:rPr>
            </w:pPr>
            <w:r>
              <w:rPr>
                <w:rFonts w:hint="eastAsia" w:ascii="仿宋_GB2312" w:eastAsia="仿宋_GB2312"/>
                <w:color w:val="auto"/>
                <w:sz w:val="30"/>
              </w:rPr>
              <w:t>个人：5 分/人</w:t>
            </w:r>
          </w:p>
          <w:p w14:paraId="5C144CBA">
            <w:pPr>
              <w:pStyle w:val="12"/>
              <w:spacing w:before="55"/>
              <w:ind w:left="418"/>
              <w:jc w:val="left"/>
              <w:rPr>
                <w:rFonts w:ascii="仿宋_GB2312" w:eastAsia="仿宋_GB2312"/>
                <w:color w:val="auto"/>
                <w:sz w:val="30"/>
              </w:rPr>
            </w:pPr>
            <w:r>
              <w:rPr>
                <w:rFonts w:hint="eastAsia" w:ascii="仿宋_GB2312" w:eastAsia="仿宋_GB2312"/>
                <w:color w:val="auto"/>
                <w:sz w:val="30"/>
              </w:rPr>
              <w:t>团体：4 分/人</w:t>
            </w:r>
          </w:p>
        </w:tc>
        <w:tc>
          <w:tcPr>
            <w:tcW w:w="2520" w:type="dxa"/>
          </w:tcPr>
          <w:p w14:paraId="66797C1C">
            <w:pPr>
              <w:pStyle w:val="12"/>
              <w:spacing w:before="14"/>
              <w:ind w:left="354"/>
              <w:jc w:val="left"/>
              <w:rPr>
                <w:rFonts w:ascii="仿宋_GB2312" w:eastAsia="仿宋_GB2312"/>
                <w:color w:val="auto"/>
                <w:sz w:val="30"/>
              </w:rPr>
            </w:pPr>
            <w:r>
              <w:rPr>
                <w:rFonts w:hint="eastAsia" w:ascii="仿宋_GB2312" w:eastAsia="仿宋_GB2312"/>
                <w:color w:val="auto"/>
                <w:sz w:val="30"/>
              </w:rPr>
              <w:t>个人：3 分/人</w:t>
            </w:r>
          </w:p>
          <w:p w14:paraId="2DD41689">
            <w:pPr>
              <w:pStyle w:val="12"/>
              <w:spacing w:before="55"/>
              <w:ind w:left="354"/>
              <w:jc w:val="left"/>
              <w:rPr>
                <w:rFonts w:ascii="仿宋_GB2312" w:eastAsia="仿宋_GB2312"/>
                <w:color w:val="auto"/>
                <w:sz w:val="30"/>
              </w:rPr>
            </w:pPr>
            <w:r>
              <w:rPr>
                <w:rFonts w:hint="eastAsia" w:ascii="仿宋_GB2312" w:eastAsia="仿宋_GB2312"/>
                <w:color w:val="auto"/>
                <w:sz w:val="30"/>
              </w:rPr>
              <w:t>团体：2 分/人</w:t>
            </w:r>
          </w:p>
        </w:tc>
      </w:tr>
      <w:tr w14:paraId="6380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1496" w:type="dxa"/>
          </w:tcPr>
          <w:p w14:paraId="54B070BA">
            <w:pPr>
              <w:pStyle w:val="12"/>
              <w:tabs>
                <w:tab w:val="left" w:pos="898"/>
              </w:tabs>
              <w:spacing w:before="13"/>
              <w:ind w:left="298"/>
              <w:jc w:val="left"/>
              <w:rPr>
                <w:rFonts w:ascii="仿宋_GB2312" w:eastAsia="仿宋_GB2312"/>
                <w:color w:val="auto"/>
                <w:sz w:val="30"/>
              </w:rPr>
            </w:pPr>
            <w:r>
              <w:rPr>
                <w:rFonts w:hint="eastAsia" w:ascii="仿宋_GB2312" w:eastAsia="仿宋_GB2312"/>
                <w:color w:val="auto"/>
                <w:sz w:val="30"/>
              </w:rPr>
              <w:t>市</w:t>
            </w:r>
            <w:r>
              <w:rPr>
                <w:rFonts w:hint="eastAsia" w:ascii="仿宋_GB2312" w:eastAsia="仿宋_GB2312"/>
                <w:color w:val="auto"/>
                <w:sz w:val="30"/>
              </w:rPr>
              <w:tab/>
            </w:r>
            <w:r>
              <w:rPr>
                <w:rFonts w:hint="eastAsia" w:ascii="仿宋_GB2312" w:eastAsia="仿宋_GB2312"/>
                <w:color w:val="auto"/>
                <w:sz w:val="30"/>
              </w:rPr>
              <w:t>级</w:t>
            </w:r>
          </w:p>
          <w:p w14:paraId="1EF3FC6C">
            <w:pPr>
              <w:pStyle w:val="12"/>
              <w:tabs>
                <w:tab w:val="left" w:pos="898"/>
              </w:tabs>
              <w:spacing w:before="55"/>
              <w:ind w:left="298"/>
              <w:jc w:val="left"/>
              <w:rPr>
                <w:rFonts w:ascii="仿宋_GB2312" w:eastAsia="仿宋_GB2312"/>
                <w:color w:val="auto"/>
                <w:sz w:val="30"/>
              </w:rPr>
            </w:pPr>
            <w:r>
              <w:rPr>
                <w:rFonts w:hint="eastAsia" w:ascii="仿宋_GB2312" w:eastAsia="仿宋_GB2312"/>
                <w:color w:val="auto"/>
                <w:sz w:val="30"/>
              </w:rPr>
              <w:t>校</w:t>
            </w:r>
            <w:r>
              <w:rPr>
                <w:rFonts w:hint="eastAsia" w:ascii="仿宋_GB2312" w:eastAsia="仿宋_GB2312"/>
                <w:color w:val="auto"/>
                <w:sz w:val="30"/>
              </w:rPr>
              <w:tab/>
            </w:r>
            <w:r>
              <w:rPr>
                <w:rFonts w:hint="eastAsia" w:ascii="仿宋_GB2312" w:eastAsia="仿宋_GB2312"/>
                <w:color w:val="auto"/>
                <w:sz w:val="30"/>
              </w:rPr>
              <w:t>级</w:t>
            </w:r>
          </w:p>
        </w:tc>
        <w:tc>
          <w:tcPr>
            <w:tcW w:w="2529" w:type="dxa"/>
          </w:tcPr>
          <w:p w14:paraId="108B5C73">
            <w:pPr>
              <w:pStyle w:val="12"/>
              <w:spacing w:before="13"/>
              <w:ind w:left="360"/>
              <w:jc w:val="left"/>
              <w:rPr>
                <w:rFonts w:ascii="仿宋_GB2312" w:eastAsia="仿宋_GB2312"/>
                <w:color w:val="auto"/>
                <w:sz w:val="30"/>
              </w:rPr>
            </w:pPr>
            <w:r>
              <w:rPr>
                <w:rFonts w:hint="eastAsia" w:ascii="仿宋_GB2312" w:eastAsia="仿宋_GB2312"/>
                <w:color w:val="auto"/>
                <w:sz w:val="30"/>
              </w:rPr>
              <w:t>个人：4 分/人</w:t>
            </w:r>
          </w:p>
          <w:p w14:paraId="18A4149B">
            <w:pPr>
              <w:pStyle w:val="12"/>
              <w:spacing w:before="55"/>
              <w:ind w:left="360"/>
              <w:jc w:val="left"/>
              <w:rPr>
                <w:rFonts w:ascii="仿宋_GB2312" w:eastAsia="仿宋_GB2312"/>
                <w:color w:val="auto"/>
                <w:sz w:val="30"/>
              </w:rPr>
            </w:pPr>
            <w:r>
              <w:rPr>
                <w:rFonts w:hint="eastAsia" w:ascii="仿宋_GB2312" w:eastAsia="仿宋_GB2312"/>
                <w:color w:val="auto"/>
                <w:sz w:val="30"/>
              </w:rPr>
              <w:t>团体：3 分/人</w:t>
            </w:r>
          </w:p>
        </w:tc>
        <w:tc>
          <w:tcPr>
            <w:tcW w:w="2646" w:type="dxa"/>
          </w:tcPr>
          <w:p w14:paraId="3D597F1D">
            <w:pPr>
              <w:pStyle w:val="12"/>
              <w:spacing w:before="13"/>
              <w:ind w:left="418"/>
              <w:jc w:val="left"/>
              <w:rPr>
                <w:rFonts w:ascii="仿宋_GB2312" w:eastAsia="仿宋_GB2312"/>
                <w:color w:val="auto"/>
                <w:sz w:val="30"/>
              </w:rPr>
            </w:pPr>
            <w:r>
              <w:rPr>
                <w:rFonts w:hint="eastAsia" w:ascii="仿宋_GB2312" w:eastAsia="仿宋_GB2312"/>
                <w:color w:val="auto"/>
                <w:sz w:val="30"/>
              </w:rPr>
              <w:t>个人：3 分/人</w:t>
            </w:r>
          </w:p>
          <w:p w14:paraId="324DD0A2">
            <w:pPr>
              <w:pStyle w:val="12"/>
              <w:spacing w:before="55"/>
              <w:ind w:left="418"/>
              <w:jc w:val="left"/>
              <w:rPr>
                <w:rFonts w:ascii="仿宋_GB2312" w:eastAsia="仿宋_GB2312"/>
                <w:color w:val="auto"/>
                <w:sz w:val="30"/>
              </w:rPr>
            </w:pPr>
            <w:r>
              <w:rPr>
                <w:rFonts w:hint="eastAsia" w:ascii="仿宋_GB2312" w:eastAsia="仿宋_GB2312"/>
                <w:color w:val="auto"/>
                <w:sz w:val="30"/>
              </w:rPr>
              <w:t>团体：2 分/人</w:t>
            </w:r>
          </w:p>
        </w:tc>
        <w:tc>
          <w:tcPr>
            <w:tcW w:w="2520" w:type="dxa"/>
          </w:tcPr>
          <w:p w14:paraId="112CE2C9">
            <w:pPr>
              <w:pStyle w:val="12"/>
              <w:spacing w:before="13"/>
              <w:ind w:left="280"/>
              <w:jc w:val="left"/>
              <w:rPr>
                <w:rFonts w:ascii="仿宋_GB2312" w:eastAsia="仿宋_GB2312"/>
                <w:color w:val="auto"/>
                <w:sz w:val="30"/>
              </w:rPr>
            </w:pPr>
            <w:r>
              <w:rPr>
                <w:rFonts w:hint="eastAsia" w:ascii="仿宋_GB2312" w:eastAsia="仿宋_GB2312"/>
                <w:color w:val="auto"/>
                <w:sz w:val="30"/>
              </w:rPr>
              <w:t>个人： 2 分/人</w:t>
            </w:r>
          </w:p>
          <w:p w14:paraId="3E90DF05">
            <w:pPr>
              <w:pStyle w:val="12"/>
              <w:spacing w:before="55"/>
              <w:ind w:left="354"/>
              <w:jc w:val="left"/>
              <w:rPr>
                <w:rFonts w:ascii="仿宋_GB2312" w:eastAsia="仿宋_GB2312"/>
                <w:color w:val="auto"/>
                <w:sz w:val="30"/>
              </w:rPr>
            </w:pPr>
            <w:r>
              <w:rPr>
                <w:rFonts w:hint="eastAsia" w:ascii="仿宋_GB2312" w:eastAsia="仿宋_GB2312"/>
                <w:color w:val="auto"/>
                <w:sz w:val="30"/>
              </w:rPr>
              <w:t>团体：1 分/人</w:t>
            </w:r>
          </w:p>
        </w:tc>
      </w:tr>
      <w:tr w14:paraId="6715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496" w:type="dxa"/>
          </w:tcPr>
          <w:p w14:paraId="455B6AE0">
            <w:pPr>
              <w:pStyle w:val="12"/>
              <w:tabs>
                <w:tab w:val="left" w:pos="611"/>
              </w:tabs>
              <w:spacing w:before="234"/>
              <w:ind w:left="11"/>
              <w:jc w:val="center"/>
              <w:rPr>
                <w:rFonts w:ascii="仿宋_GB2312" w:eastAsia="仿宋_GB2312"/>
                <w:color w:val="auto"/>
                <w:sz w:val="30"/>
              </w:rPr>
            </w:pPr>
            <w:r>
              <w:rPr>
                <w:rFonts w:hint="eastAsia" w:ascii="仿宋_GB2312" w:eastAsia="仿宋_GB2312"/>
                <w:color w:val="auto"/>
                <w:sz w:val="30"/>
              </w:rPr>
              <w:t>院</w:t>
            </w:r>
            <w:r>
              <w:rPr>
                <w:rFonts w:hint="eastAsia" w:ascii="仿宋_GB2312" w:eastAsia="仿宋_GB2312"/>
                <w:color w:val="auto"/>
                <w:sz w:val="30"/>
              </w:rPr>
              <w:tab/>
            </w:r>
            <w:r>
              <w:rPr>
                <w:rFonts w:hint="eastAsia" w:ascii="仿宋_GB2312" w:eastAsia="仿宋_GB2312"/>
                <w:color w:val="auto"/>
                <w:sz w:val="30"/>
              </w:rPr>
              <w:t>级</w:t>
            </w:r>
          </w:p>
        </w:tc>
        <w:tc>
          <w:tcPr>
            <w:tcW w:w="2529" w:type="dxa"/>
          </w:tcPr>
          <w:p w14:paraId="3115D012">
            <w:pPr>
              <w:pStyle w:val="12"/>
              <w:spacing w:before="15"/>
              <w:ind w:left="360"/>
              <w:jc w:val="left"/>
              <w:rPr>
                <w:rFonts w:ascii="仿宋_GB2312" w:eastAsia="仿宋_GB2312"/>
                <w:color w:val="auto"/>
                <w:sz w:val="30"/>
              </w:rPr>
            </w:pPr>
            <w:r>
              <w:rPr>
                <w:rFonts w:hint="eastAsia" w:ascii="仿宋_GB2312" w:eastAsia="仿宋_GB2312"/>
                <w:color w:val="auto"/>
                <w:sz w:val="30"/>
              </w:rPr>
              <w:t>个人：3 分/人</w:t>
            </w:r>
          </w:p>
          <w:p w14:paraId="6114ABD3">
            <w:pPr>
              <w:pStyle w:val="12"/>
              <w:ind w:left="360"/>
              <w:jc w:val="left"/>
              <w:rPr>
                <w:rFonts w:ascii="仿宋_GB2312" w:eastAsia="仿宋_GB2312"/>
                <w:color w:val="auto"/>
                <w:sz w:val="30"/>
              </w:rPr>
            </w:pPr>
            <w:r>
              <w:rPr>
                <w:rFonts w:hint="eastAsia" w:ascii="仿宋_GB2312" w:eastAsia="仿宋_GB2312"/>
                <w:color w:val="auto"/>
                <w:sz w:val="30"/>
              </w:rPr>
              <w:t>团体：2 分/人</w:t>
            </w:r>
          </w:p>
        </w:tc>
        <w:tc>
          <w:tcPr>
            <w:tcW w:w="2646" w:type="dxa"/>
          </w:tcPr>
          <w:p w14:paraId="7321362A">
            <w:pPr>
              <w:pStyle w:val="12"/>
              <w:spacing w:before="15"/>
              <w:ind w:left="418"/>
              <w:jc w:val="left"/>
              <w:rPr>
                <w:rFonts w:ascii="仿宋_GB2312" w:eastAsia="仿宋_GB2312"/>
                <w:color w:val="auto"/>
                <w:sz w:val="30"/>
              </w:rPr>
            </w:pPr>
            <w:r>
              <w:rPr>
                <w:rFonts w:hint="eastAsia" w:ascii="仿宋_GB2312" w:eastAsia="仿宋_GB2312"/>
                <w:color w:val="auto"/>
                <w:sz w:val="30"/>
              </w:rPr>
              <w:t>个人：2 分/人</w:t>
            </w:r>
          </w:p>
          <w:p w14:paraId="53CDD63C">
            <w:pPr>
              <w:pStyle w:val="12"/>
              <w:ind w:left="418"/>
              <w:jc w:val="left"/>
              <w:rPr>
                <w:rFonts w:ascii="仿宋_GB2312" w:eastAsia="仿宋_GB2312"/>
                <w:color w:val="auto"/>
                <w:sz w:val="30"/>
              </w:rPr>
            </w:pPr>
            <w:r>
              <w:rPr>
                <w:rFonts w:hint="eastAsia" w:ascii="仿宋_GB2312" w:eastAsia="仿宋_GB2312"/>
                <w:color w:val="auto"/>
                <w:sz w:val="30"/>
              </w:rPr>
              <w:t>团体：1 分/人</w:t>
            </w:r>
          </w:p>
        </w:tc>
        <w:tc>
          <w:tcPr>
            <w:tcW w:w="2520" w:type="dxa"/>
          </w:tcPr>
          <w:p w14:paraId="03364DE9">
            <w:pPr>
              <w:pStyle w:val="12"/>
              <w:spacing w:before="15"/>
              <w:ind w:left="354"/>
              <w:jc w:val="left"/>
              <w:rPr>
                <w:rFonts w:ascii="仿宋_GB2312" w:eastAsia="仿宋_GB2312"/>
                <w:color w:val="auto"/>
                <w:sz w:val="30"/>
              </w:rPr>
            </w:pPr>
            <w:r>
              <w:rPr>
                <w:rFonts w:hint="eastAsia" w:ascii="仿宋_GB2312" w:eastAsia="仿宋_GB2312"/>
                <w:color w:val="auto"/>
                <w:sz w:val="30"/>
              </w:rPr>
              <w:t>个人：1 分/人</w:t>
            </w:r>
          </w:p>
          <w:p w14:paraId="7D1C8A4B">
            <w:pPr>
              <w:pStyle w:val="12"/>
              <w:ind w:left="242"/>
              <w:jc w:val="left"/>
              <w:rPr>
                <w:rFonts w:ascii="仿宋_GB2312" w:eastAsia="仿宋_GB2312"/>
                <w:color w:val="auto"/>
                <w:sz w:val="30"/>
              </w:rPr>
            </w:pPr>
            <w:r>
              <w:rPr>
                <w:rFonts w:hint="eastAsia" w:ascii="仿宋_GB2312" w:eastAsia="仿宋_GB2312"/>
                <w:color w:val="auto"/>
                <w:sz w:val="30"/>
              </w:rPr>
              <w:t>团体：0.5 分/人</w:t>
            </w:r>
          </w:p>
        </w:tc>
      </w:tr>
    </w:tbl>
    <w:p w14:paraId="3B03E4D4">
      <w:pPr>
        <w:ind w:firstLine="600" w:firstLineChars="200"/>
        <w:rPr>
          <w:rFonts w:ascii="仿宋_GB2312" w:eastAsia="仿宋_GB2312"/>
          <w:color w:val="auto"/>
          <w:sz w:val="30"/>
          <w:szCs w:val="30"/>
        </w:rPr>
      </w:pPr>
      <w:r>
        <w:rPr>
          <w:rFonts w:hint="eastAsia" w:ascii="仿宋_GB2312" w:eastAsia="仿宋_GB2312"/>
          <w:color w:val="auto"/>
          <w:sz w:val="30"/>
          <w:szCs w:val="30"/>
        </w:rPr>
        <w:t>备注：本学年度多次参加比赛的，或在一次比赛中参与多个项目的，可累计加分，但累计总加分不得高于 10 分。</w:t>
      </w:r>
    </w:p>
    <w:p w14:paraId="7AD536EC">
      <w:pPr>
        <w:ind w:firstLine="596" w:firstLineChars="198"/>
        <w:rPr>
          <w:rFonts w:ascii="仿宋_GB2312" w:eastAsia="仿宋_GB2312"/>
          <w:color w:val="auto"/>
          <w:sz w:val="30"/>
          <w:szCs w:val="30"/>
        </w:rPr>
      </w:pPr>
      <w:r>
        <w:rPr>
          <w:rFonts w:hint="eastAsia" w:ascii="仿宋_GB2312" w:eastAsia="仿宋_GB2312"/>
          <w:b/>
          <w:color w:val="auto"/>
          <w:sz w:val="30"/>
          <w:szCs w:val="30"/>
        </w:rPr>
        <w:t>第八条</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能力</w:t>
      </w:r>
      <w:r>
        <w:rPr>
          <w:rFonts w:hint="eastAsia" w:ascii="仿宋_GB2312" w:eastAsia="仿宋_GB2312"/>
          <w:color w:val="auto"/>
          <w:sz w:val="30"/>
          <w:szCs w:val="30"/>
        </w:rPr>
        <w:t>素质测评</w:t>
      </w:r>
    </w:p>
    <w:p w14:paraId="17E3A277">
      <w:pPr>
        <w:ind w:firstLine="600" w:firstLineChars="200"/>
        <w:rPr>
          <w:rFonts w:ascii="仿宋_GB2312" w:eastAsia="仿宋_GB2312"/>
          <w:color w:val="auto"/>
          <w:sz w:val="30"/>
          <w:szCs w:val="30"/>
        </w:rPr>
      </w:pPr>
      <w:r>
        <w:rPr>
          <w:rFonts w:hint="eastAsia" w:ascii="仿宋_GB2312" w:eastAsia="仿宋_GB2312"/>
          <w:color w:val="auto"/>
          <w:sz w:val="30"/>
          <w:szCs w:val="30"/>
          <w:lang w:val="en-US" w:eastAsia="zh-CN"/>
        </w:rPr>
        <w:t>能力素质测评包括对学生创新素质、审美素养、劳动素养以及其他能力素质的测评。</w:t>
      </w:r>
    </w:p>
    <w:p w14:paraId="12BABFEB">
      <w:pPr>
        <w:ind w:firstLine="602" w:firstLineChars="200"/>
        <w:rPr>
          <w:rFonts w:ascii="仿宋_GB2312" w:eastAsia="仿宋_GB2312"/>
          <w:b/>
          <w:bCs w:val="0"/>
          <w:color w:val="auto"/>
          <w:sz w:val="30"/>
          <w:szCs w:val="30"/>
        </w:rPr>
      </w:pPr>
      <w:r>
        <w:rPr>
          <w:rFonts w:hint="eastAsia" w:ascii="仿宋_GB2312" w:eastAsia="仿宋_GB2312"/>
          <w:b/>
          <w:bCs w:val="0"/>
          <w:color w:val="auto"/>
          <w:sz w:val="30"/>
          <w:szCs w:val="30"/>
        </w:rPr>
        <w:t>积分评分</w:t>
      </w:r>
    </w:p>
    <w:p w14:paraId="74126F2F">
      <w:pPr>
        <w:ind w:firstLine="600" w:firstLineChars="200"/>
        <w:rPr>
          <w:rFonts w:ascii="仿宋_GB2312" w:eastAsia="仿宋_GB2312"/>
          <w:color w:val="auto"/>
          <w:sz w:val="30"/>
          <w:szCs w:val="30"/>
        </w:rPr>
      </w:pPr>
      <w:r>
        <w:rPr>
          <w:rFonts w:hint="eastAsia" w:ascii="仿宋_GB2312" w:eastAsia="仿宋_GB2312"/>
          <w:color w:val="auto"/>
          <w:sz w:val="30"/>
          <w:szCs w:val="30"/>
          <w:lang w:val="en-US" w:eastAsia="zh-CN"/>
        </w:rPr>
        <w:t>能力</w:t>
      </w:r>
      <w:r>
        <w:rPr>
          <w:rFonts w:hint="eastAsia" w:ascii="仿宋_GB2312" w:eastAsia="仿宋_GB2312"/>
          <w:color w:val="auto"/>
          <w:sz w:val="30"/>
          <w:szCs w:val="30"/>
        </w:rPr>
        <w:t xml:space="preserve">素质积分=起评分（40 分）+ </w:t>
      </w:r>
      <w:r>
        <w:rPr>
          <w:rFonts w:hint="eastAsia" w:ascii="仿宋_GB2312" w:eastAsia="仿宋_GB2312"/>
          <w:color w:val="auto"/>
          <w:sz w:val="30"/>
          <w:szCs w:val="30"/>
          <w:lang w:val="en-US" w:eastAsia="zh-CN"/>
        </w:rPr>
        <w:t>加分</w:t>
      </w:r>
      <w:r>
        <w:rPr>
          <w:rFonts w:hint="eastAsia" w:ascii="仿宋_GB2312" w:eastAsia="仿宋_GB2312"/>
          <w:color w:val="auto"/>
          <w:sz w:val="30"/>
          <w:szCs w:val="30"/>
        </w:rPr>
        <w:t>，</w:t>
      </w:r>
      <w:r>
        <w:rPr>
          <w:rFonts w:hint="default" w:ascii="仿宋_GB2312" w:eastAsia="仿宋_GB2312"/>
          <w:color w:val="auto"/>
          <w:sz w:val="30"/>
          <w:szCs w:val="30"/>
          <w:lang w:val="en-US"/>
        </w:rPr>
        <w:t>总分累计不超过</w:t>
      </w:r>
      <w:r>
        <w:rPr>
          <w:rFonts w:hint="eastAsia" w:ascii="仿宋_GB2312" w:eastAsia="仿宋_GB2312"/>
          <w:color w:val="auto"/>
          <w:sz w:val="30"/>
          <w:szCs w:val="30"/>
        </w:rPr>
        <w:t xml:space="preserve"> 100 分。</w:t>
      </w:r>
    </w:p>
    <w:p w14:paraId="1D827858">
      <w:pPr>
        <w:ind w:firstLine="602" w:firstLineChars="200"/>
        <w:rPr>
          <w:rFonts w:ascii="仿宋_GB2312" w:eastAsia="仿宋_GB2312"/>
          <w:b/>
          <w:bCs w:val="0"/>
          <w:color w:val="auto"/>
          <w:sz w:val="30"/>
          <w:szCs w:val="30"/>
        </w:rPr>
      </w:pPr>
      <w:r>
        <w:rPr>
          <w:rFonts w:hint="eastAsia" w:ascii="仿宋_GB2312" w:eastAsia="仿宋_GB2312"/>
          <w:b/>
          <w:bCs w:val="0"/>
          <w:color w:val="auto"/>
          <w:sz w:val="30"/>
          <w:szCs w:val="30"/>
        </w:rPr>
        <w:t>1、</w:t>
      </w:r>
      <w:r>
        <w:rPr>
          <w:rFonts w:hint="eastAsia" w:ascii="仿宋_GB2312" w:eastAsia="仿宋_GB2312"/>
          <w:b/>
          <w:bCs w:val="0"/>
          <w:color w:val="auto"/>
          <w:sz w:val="30"/>
          <w:szCs w:val="30"/>
          <w:lang w:val="en-US" w:eastAsia="zh-CN"/>
        </w:rPr>
        <w:t>能力</w:t>
      </w:r>
      <w:r>
        <w:rPr>
          <w:rFonts w:hint="eastAsia" w:ascii="仿宋_GB2312" w:eastAsia="仿宋_GB2312"/>
          <w:b/>
          <w:bCs w:val="0"/>
          <w:color w:val="auto"/>
          <w:sz w:val="30"/>
          <w:szCs w:val="30"/>
        </w:rPr>
        <w:t>素质起评分（40 分）</w:t>
      </w:r>
    </w:p>
    <w:p w14:paraId="7F1B90DB">
      <w:pPr>
        <w:ind w:firstLine="600" w:firstLineChars="200"/>
        <w:rPr>
          <w:rFonts w:ascii="仿宋_GB2312" w:eastAsia="仿宋_GB2312"/>
          <w:color w:val="auto"/>
          <w:sz w:val="30"/>
          <w:szCs w:val="30"/>
        </w:rPr>
      </w:pPr>
      <w:r>
        <w:rPr>
          <w:rFonts w:hint="eastAsia" w:ascii="仿宋_GB2312" w:eastAsia="仿宋_GB2312"/>
          <w:color w:val="auto"/>
          <w:sz w:val="30"/>
          <w:szCs w:val="30"/>
        </w:rPr>
        <w:t>（1）</w:t>
      </w:r>
      <w:r>
        <w:rPr>
          <w:rFonts w:hint="eastAsia" w:ascii="仿宋_GB2312" w:eastAsia="仿宋_GB2312"/>
          <w:color w:val="auto"/>
          <w:sz w:val="30"/>
          <w:szCs w:val="30"/>
          <w:lang w:val="en-US" w:eastAsia="zh-CN"/>
        </w:rPr>
        <w:t>创新素质测评主要评价学生在创意、创新、创业等实践活动中创造性地认识问题、分析问题、提出问题和解决问题的能力，具体评价学生参与创意、创新、创业活动的积极性与具体表现以及获各类专业（职业）技能（水平）资格情况。</w:t>
      </w:r>
      <w:r>
        <w:rPr>
          <w:rFonts w:hint="eastAsia" w:ascii="仿宋_GB2312" w:eastAsia="仿宋_GB2312"/>
          <w:color w:val="auto"/>
          <w:sz w:val="30"/>
          <w:szCs w:val="30"/>
        </w:rPr>
        <w:t>。</w:t>
      </w:r>
    </w:p>
    <w:p w14:paraId="29AF749E">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（2）</w:t>
      </w:r>
      <w:r>
        <w:rPr>
          <w:rFonts w:hint="eastAsia" w:ascii="仿宋_GB2312" w:eastAsia="仿宋_GB2312"/>
          <w:color w:val="auto"/>
          <w:sz w:val="30"/>
          <w:szCs w:val="30"/>
          <w:lang w:val="en-US" w:eastAsia="zh-CN"/>
        </w:rPr>
        <w:t>审美素养测评主要评价学生感受美、表现美、鉴赏美、</w:t>
      </w:r>
    </w:p>
    <w:p w14:paraId="5EEF5ED6">
      <w:pPr>
        <w:rPr>
          <w:rFonts w:ascii="仿宋_GB2312" w:eastAsia="仿宋_GB2312"/>
          <w:color w:val="auto"/>
          <w:sz w:val="30"/>
          <w:szCs w:val="30"/>
        </w:rPr>
      </w:pPr>
      <w:r>
        <w:rPr>
          <w:rFonts w:hint="eastAsia" w:ascii="仿宋_GB2312" w:eastAsia="仿宋_GB2312"/>
          <w:color w:val="auto"/>
          <w:sz w:val="30"/>
          <w:szCs w:val="30"/>
          <w:lang w:val="en-US" w:eastAsia="zh-CN"/>
        </w:rPr>
        <w:t>创造美的能力，具体评价学生参与艺术表演、展览、比赛以及艺术欣赏等艺术实践活动的积极性和具体表现。</w:t>
      </w:r>
    </w:p>
    <w:p w14:paraId="48440C2F">
      <w:pPr>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eastAsia="仿宋_GB2312"/>
          <w:color w:val="auto"/>
          <w:sz w:val="30"/>
          <w:szCs w:val="30"/>
          <w:lang w:val="en-US" w:eastAsia="zh-CN"/>
        </w:rPr>
        <w:t>劳动素养测评主要评价学生的劳动观念、劳动能力、劳动精神、劳动习惯和品质，具体评价学生日常生活劳动、生产劳动和服务性劳动的知识、技能、行为和价值观。</w:t>
      </w:r>
    </w:p>
    <w:p w14:paraId="3B0244D3">
      <w:pPr>
        <w:ind w:firstLine="600" w:firstLineChars="200"/>
        <w:rPr>
          <w:rFonts w:hint="eastAsia" w:ascii="仿宋_GB2312" w:eastAsia="仿宋_GB2312"/>
          <w:color w:val="auto"/>
          <w:sz w:val="30"/>
          <w:szCs w:val="30"/>
        </w:rPr>
      </w:pPr>
      <w:r>
        <w:rPr>
          <w:rFonts w:hint="eastAsia" w:ascii="仿宋_GB2312" w:eastAsia="仿宋_GB2312"/>
          <w:color w:val="auto"/>
          <w:sz w:val="30"/>
          <w:szCs w:val="30"/>
        </w:rPr>
        <w:t>（4）</w:t>
      </w:r>
      <w:r>
        <w:rPr>
          <w:rFonts w:hint="eastAsia" w:ascii="仿宋_GB2312" w:eastAsia="仿宋_GB2312"/>
          <w:color w:val="auto"/>
          <w:sz w:val="30"/>
          <w:szCs w:val="30"/>
          <w:lang w:val="en-US" w:eastAsia="zh-CN"/>
        </w:rPr>
        <w:t>其他能力素质测评评价学生从事社会工作的组织、管理、协调能力以及其他能力素质。</w:t>
      </w:r>
    </w:p>
    <w:p w14:paraId="7C6F2951">
      <w:pPr>
        <w:ind w:firstLine="600" w:firstLineChars="200"/>
        <w:rPr>
          <w:rFonts w:ascii="仿宋_GB2312" w:eastAsia="仿宋_GB2312"/>
          <w:color w:val="auto"/>
          <w:sz w:val="30"/>
          <w:szCs w:val="30"/>
        </w:rPr>
      </w:pPr>
      <w:r>
        <w:rPr>
          <w:rFonts w:hint="eastAsia" w:ascii="仿宋_GB2312" w:eastAsia="仿宋_GB2312"/>
          <w:color w:val="auto"/>
          <w:sz w:val="30"/>
          <w:szCs w:val="30"/>
        </w:rPr>
        <w:t>符合上述标准的，</w:t>
      </w:r>
      <w:r>
        <w:rPr>
          <w:rFonts w:hint="eastAsia" w:ascii="仿宋_GB2312" w:eastAsia="仿宋_GB2312"/>
          <w:color w:val="auto"/>
          <w:sz w:val="30"/>
          <w:szCs w:val="30"/>
          <w:lang w:eastAsia="zh-CN"/>
        </w:rPr>
        <w:t>能力素质</w:t>
      </w:r>
      <w:r>
        <w:rPr>
          <w:rFonts w:hint="eastAsia" w:ascii="仿宋_GB2312" w:eastAsia="仿宋_GB2312"/>
          <w:color w:val="auto"/>
          <w:sz w:val="30"/>
          <w:szCs w:val="30"/>
          <w:lang w:val="en-US" w:eastAsia="zh-CN"/>
        </w:rPr>
        <w:t>基础</w:t>
      </w:r>
      <w:r>
        <w:rPr>
          <w:rFonts w:hint="eastAsia" w:ascii="仿宋_GB2312" w:eastAsia="仿宋_GB2312"/>
          <w:color w:val="auto"/>
          <w:sz w:val="30"/>
          <w:szCs w:val="30"/>
        </w:rPr>
        <w:t>分每项得分 10 分，总计 40 分。</w:t>
      </w:r>
    </w:p>
    <w:p w14:paraId="33BACA6D">
      <w:pPr>
        <w:ind w:firstLine="602" w:firstLineChars="200"/>
        <w:rPr>
          <w:rFonts w:ascii="仿宋_GB2312" w:eastAsia="仿宋_GB2312"/>
          <w:color w:val="auto"/>
          <w:sz w:val="30"/>
          <w:szCs w:val="30"/>
        </w:rPr>
      </w:pPr>
      <w:r>
        <w:rPr>
          <w:rFonts w:hint="eastAsia" w:ascii="仿宋_GB2312" w:eastAsia="仿宋_GB2312"/>
          <w:b/>
          <w:color w:val="auto"/>
          <w:sz w:val="30"/>
          <w:szCs w:val="30"/>
        </w:rPr>
        <w:t>2、</w:t>
      </w:r>
      <w:r>
        <w:rPr>
          <w:rFonts w:hint="eastAsia" w:ascii="仿宋_GB2312" w:eastAsia="仿宋_GB2312"/>
          <w:b/>
          <w:color w:val="auto"/>
          <w:sz w:val="30"/>
          <w:szCs w:val="30"/>
          <w:lang w:val="en-US" w:eastAsia="zh-CN"/>
        </w:rPr>
        <w:t>能力</w:t>
      </w:r>
      <w:r>
        <w:rPr>
          <w:rFonts w:hint="eastAsia" w:ascii="仿宋_GB2312" w:eastAsia="仿宋_GB2312"/>
          <w:b/>
          <w:color w:val="auto"/>
          <w:sz w:val="30"/>
          <w:szCs w:val="30"/>
        </w:rPr>
        <w:t>素质</w:t>
      </w:r>
      <w:r>
        <w:rPr>
          <w:rFonts w:hint="eastAsia" w:ascii="仿宋_GB2312" w:eastAsia="仿宋_GB2312"/>
          <w:b/>
          <w:color w:val="auto"/>
          <w:sz w:val="30"/>
          <w:szCs w:val="30"/>
          <w:lang w:val="en-US" w:eastAsia="zh-CN"/>
        </w:rPr>
        <w:t>加分</w:t>
      </w:r>
      <w:r>
        <w:rPr>
          <w:rFonts w:hint="eastAsia" w:ascii="仿宋_GB2312" w:eastAsia="仿宋_GB2312"/>
          <w:b/>
          <w:color w:val="auto"/>
          <w:sz w:val="30"/>
          <w:szCs w:val="30"/>
        </w:rPr>
        <w:t>（60 分）</w:t>
      </w:r>
    </w:p>
    <w:p w14:paraId="62883BBD">
      <w:pPr>
        <w:ind w:firstLine="600" w:firstLineChars="200"/>
        <w:rPr>
          <w:rFonts w:ascii="仿宋_GB2312" w:eastAsia="仿宋_GB2312"/>
          <w:color w:val="auto"/>
          <w:sz w:val="30"/>
          <w:szCs w:val="30"/>
        </w:rPr>
      </w:pPr>
      <w:r>
        <w:rPr>
          <w:rFonts w:hint="eastAsia" w:ascii="仿宋_GB2312" w:eastAsia="仿宋_GB2312"/>
          <w:color w:val="auto"/>
          <w:sz w:val="30"/>
          <w:szCs w:val="30"/>
        </w:rPr>
        <w:t>学生在上述四个方面表现突出，取得各级各类奖项、荣誉等，可以获得</w:t>
      </w:r>
      <w:r>
        <w:rPr>
          <w:rFonts w:hint="eastAsia" w:ascii="仿宋_GB2312" w:eastAsia="仿宋_GB2312"/>
          <w:color w:val="auto"/>
          <w:sz w:val="30"/>
          <w:szCs w:val="30"/>
          <w:lang w:val="en-US" w:eastAsia="zh-CN"/>
        </w:rPr>
        <w:t>加分</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加分</w:t>
      </w:r>
      <w:r>
        <w:rPr>
          <w:rFonts w:hint="eastAsia" w:ascii="仿宋_GB2312" w:eastAsia="仿宋_GB2312"/>
          <w:color w:val="auto"/>
          <w:sz w:val="30"/>
          <w:szCs w:val="30"/>
        </w:rPr>
        <w:t>累计不超过60 分。</w:t>
      </w:r>
    </w:p>
    <w:p w14:paraId="520CBA74">
      <w:pPr>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eastAsia="仿宋_GB2312"/>
          <w:color w:val="auto"/>
          <w:sz w:val="30"/>
          <w:szCs w:val="30"/>
          <w:lang w:eastAsia="zh-CN"/>
        </w:rPr>
        <w:t>能力素质</w:t>
      </w:r>
      <w:r>
        <w:rPr>
          <w:rFonts w:hint="eastAsia" w:ascii="仿宋_GB2312" w:eastAsia="仿宋_GB2312"/>
          <w:color w:val="auto"/>
          <w:sz w:val="30"/>
          <w:szCs w:val="30"/>
        </w:rPr>
        <w:t>成果仅限于学生在测评学年以安庆师范大学学生身份取得的成果。同一项</w:t>
      </w:r>
      <w:r>
        <w:rPr>
          <w:rFonts w:hint="eastAsia" w:ascii="仿宋_GB2312" w:eastAsia="仿宋_GB2312"/>
          <w:color w:val="auto"/>
          <w:sz w:val="30"/>
          <w:szCs w:val="30"/>
          <w:lang w:eastAsia="zh-CN"/>
        </w:rPr>
        <w:t>能力素质</w:t>
      </w:r>
      <w:r>
        <w:rPr>
          <w:rFonts w:hint="eastAsia" w:ascii="仿宋_GB2312" w:eastAsia="仿宋_GB2312"/>
          <w:color w:val="auto"/>
          <w:sz w:val="30"/>
          <w:szCs w:val="30"/>
        </w:rPr>
        <w:t>成果带来的多种荣誉和奖项按最高项进行加分，不重复加分。学生对提供的证明材料真实性负责，弄虚作假者一经查实，给予相应处分。</w:t>
      </w:r>
    </w:p>
    <w:p w14:paraId="3AE8287E">
      <w:pPr>
        <w:ind w:firstLine="600" w:firstLineChars="200"/>
        <w:rPr>
          <w:rFonts w:ascii="仿宋_GB2312" w:eastAsia="仿宋_GB2312"/>
          <w:color w:val="auto"/>
          <w:sz w:val="30"/>
          <w:szCs w:val="30"/>
        </w:rPr>
      </w:pPr>
      <w:r>
        <w:rPr>
          <w:rFonts w:hint="eastAsia" w:ascii="仿宋_GB2312" w:eastAsia="仿宋_GB2312"/>
          <w:color w:val="auto"/>
          <w:sz w:val="30"/>
          <w:szCs w:val="30"/>
        </w:rPr>
        <w:t>4、学生干部倡导以服务和贡献为导向，加分不与其岗位直接挂钩。受到相关部门表彰和嘉奖的可进行加分。</w:t>
      </w:r>
    </w:p>
    <w:p w14:paraId="2A63147A">
      <w:pPr>
        <w:ind w:firstLine="600" w:firstLineChars="200"/>
        <w:rPr>
          <w:rFonts w:ascii="仿宋_GB2312" w:eastAsia="仿宋_GB2312"/>
          <w:color w:val="auto"/>
          <w:sz w:val="30"/>
          <w:szCs w:val="30"/>
        </w:rPr>
      </w:pPr>
      <w:r>
        <w:rPr>
          <w:rFonts w:hint="eastAsia" w:ascii="仿宋_GB2312" w:eastAsia="仿宋_GB2312"/>
          <w:color w:val="auto"/>
          <w:sz w:val="30"/>
          <w:szCs w:val="30"/>
        </w:rPr>
        <w:t>5、学生素养和能力评分标准</w:t>
      </w:r>
    </w:p>
    <w:p w14:paraId="6047F9C9">
      <w:pPr>
        <w:ind w:firstLine="600" w:firstLineChars="200"/>
        <w:rPr>
          <w:rFonts w:ascii="仿宋_GB2312" w:eastAsia="仿宋_GB2312"/>
          <w:color w:val="auto"/>
          <w:sz w:val="30"/>
          <w:szCs w:val="30"/>
        </w:rPr>
      </w:pPr>
      <w:r>
        <w:rPr>
          <w:rFonts w:hint="eastAsia" w:ascii="仿宋_GB2312" w:eastAsia="仿宋_GB2312"/>
          <w:color w:val="auto"/>
          <w:sz w:val="30"/>
          <w:szCs w:val="30"/>
        </w:rPr>
        <w:t>（1）社会服务与实践加分</w:t>
      </w:r>
    </w:p>
    <w:p w14:paraId="15BA18A4">
      <w:pPr>
        <w:ind w:firstLine="600" w:firstLineChars="200"/>
        <w:rPr>
          <w:rFonts w:ascii="仿宋_GB2312" w:eastAsia="仿宋_GB2312"/>
          <w:color w:val="auto"/>
          <w:sz w:val="30"/>
          <w:szCs w:val="30"/>
        </w:rPr>
      </w:pPr>
      <w:r>
        <w:rPr>
          <w:rFonts w:hint="eastAsia" w:ascii="仿宋_GB2312" w:eastAsia="仿宋_GB2312"/>
          <w:color w:val="auto"/>
          <w:sz w:val="30"/>
          <w:szCs w:val="30"/>
        </w:rPr>
        <w:t>①班级学生干部加分：依据辅导员及其他老师建议及班级同学评议综合表现加 1-5 分。</w:t>
      </w:r>
    </w:p>
    <w:p w14:paraId="27CBEF43">
      <w:pPr>
        <w:ind w:firstLine="600" w:firstLineChars="200"/>
        <w:rPr>
          <w:rFonts w:ascii="仿宋_GB2312" w:eastAsia="仿宋_GB2312"/>
          <w:color w:val="auto"/>
          <w:sz w:val="30"/>
          <w:szCs w:val="30"/>
        </w:rPr>
      </w:pPr>
      <w:r>
        <w:rPr>
          <w:rFonts w:hint="eastAsia" w:ascii="仿宋_GB2312" w:eastAsia="仿宋_GB2312"/>
          <w:color w:val="auto"/>
          <w:sz w:val="30"/>
          <w:szCs w:val="30"/>
        </w:rPr>
        <w:t>②学生会干部：干事加 1 分，副部长加 2 分，部长加 3 分；副主席加 4 分，主席加 5 分。</w:t>
      </w:r>
    </w:p>
    <w:p w14:paraId="159CDB49">
      <w:pPr>
        <w:ind w:firstLine="600" w:firstLineChars="200"/>
        <w:rPr>
          <w:rFonts w:ascii="仿宋_GB2312" w:eastAsia="仿宋_GB2312"/>
          <w:color w:val="auto"/>
          <w:sz w:val="30"/>
          <w:szCs w:val="30"/>
        </w:rPr>
      </w:pPr>
      <w:r>
        <w:rPr>
          <w:rFonts w:hint="eastAsia" w:ascii="仿宋_GB2312" w:eastAsia="仿宋_GB2312"/>
          <w:color w:val="auto"/>
          <w:sz w:val="30"/>
          <w:szCs w:val="30"/>
        </w:rPr>
        <w:t>备注：若同时承担多项职务的，不累计加分，以最高分为准，上限为 5 分。</w:t>
      </w:r>
    </w:p>
    <w:p w14:paraId="50E4FB5A">
      <w:pPr>
        <w:ind w:firstLine="600" w:firstLineChars="200"/>
        <w:rPr>
          <w:rFonts w:ascii="仿宋_GB2312" w:eastAsia="仿宋_GB2312"/>
          <w:color w:val="auto"/>
          <w:sz w:val="30"/>
          <w:szCs w:val="30"/>
        </w:rPr>
      </w:pPr>
      <w:r>
        <w:rPr>
          <w:rFonts w:hint="eastAsia" w:ascii="仿宋_GB2312" w:eastAsia="仿宋_GB2312"/>
          <w:color w:val="auto"/>
          <w:sz w:val="30"/>
          <w:szCs w:val="30"/>
        </w:rPr>
        <w:t>（2）文化艺术活动加分</w:t>
      </w:r>
    </w:p>
    <w:p w14:paraId="181F73FF">
      <w:pPr>
        <w:ind w:firstLine="600" w:firstLineChars="200"/>
        <w:rPr>
          <w:rFonts w:ascii="仿宋_GB2312" w:eastAsia="仿宋_GB2312"/>
          <w:color w:val="auto"/>
          <w:sz w:val="30"/>
          <w:szCs w:val="30"/>
        </w:rPr>
      </w:pPr>
      <w:r>
        <w:rPr>
          <w:rFonts w:hint="eastAsia" w:ascii="仿宋_GB2312" w:eastAsia="仿宋_GB2312"/>
          <w:color w:val="auto"/>
          <w:sz w:val="30"/>
          <w:szCs w:val="30"/>
        </w:rPr>
        <w:t>①个人奖项加分：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1570"/>
        <w:gridCol w:w="1843"/>
        <w:gridCol w:w="1701"/>
        <w:gridCol w:w="1906"/>
      </w:tblGrid>
      <w:tr w14:paraId="2FFC3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60" w:type="dxa"/>
          </w:tcPr>
          <w:p w14:paraId="2C66A83B">
            <w:pPr>
              <w:pStyle w:val="12"/>
              <w:tabs>
                <w:tab w:val="left" w:pos="607"/>
              </w:tabs>
              <w:spacing w:before="21"/>
              <w:ind w:left="7"/>
              <w:jc w:val="center"/>
              <w:rPr>
                <w:rFonts w:ascii="仿宋_GB2312" w:eastAsia="仿宋_GB2312"/>
                <w:color w:val="auto"/>
                <w:sz w:val="30"/>
              </w:rPr>
            </w:pPr>
            <w:r>
              <w:rPr>
                <w:rFonts w:hint="eastAsia" w:ascii="仿宋_GB2312" w:eastAsia="仿宋_GB2312"/>
                <w:color w:val="auto"/>
                <w:sz w:val="30"/>
              </w:rPr>
              <w:t>等</w:t>
            </w:r>
            <w:r>
              <w:rPr>
                <w:rFonts w:hint="eastAsia" w:ascii="仿宋_GB2312" w:eastAsia="仿宋_GB2312"/>
                <w:color w:val="auto"/>
                <w:sz w:val="30"/>
              </w:rPr>
              <w:tab/>
            </w:r>
            <w:r>
              <w:rPr>
                <w:rFonts w:hint="eastAsia" w:ascii="仿宋_GB2312" w:eastAsia="仿宋_GB2312"/>
                <w:color w:val="auto"/>
                <w:sz w:val="30"/>
              </w:rPr>
              <w:t>级</w:t>
            </w:r>
          </w:p>
        </w:tc>
        <w:tc>
          <w:tcPr>
            <w:tcW w:w="1570" w:type="dxa"/>
          </w:tcPr>
          <w:p w14:paraId="649ED2E3">
            <w:pPr>
              <w:pStyle w:val="12"/>
              <w:spacing w:before="21"/>
              <w:ind w:right="323"/>
              <w:rPr>
                <w:rFonts w:ascii="仿宋_GB2312" w:eastAsia="仿宋_GB2312"/>
                <w:color w:val="auto"/>
                <w:sz w:val="30"/>
              </w:rPr>
            </w:pPr>
            <w:r>
              <w:rPr>
                <w:rFonts w:hint="eastAsia" w:ascii="仿宋_GB2312" w:eastAsia="仿宋_GB2312"/>
                <w:color w:val="auto"/>
                <w:sz w:val="30"/>
              </w:rPr>
              <w:t>一等奖</w:t>
            </w:r>
          </w:p>
        </w:tc>
        <w:tc>
          <w:tcPr>
            <w:tcW w:w="1843" w:type="dxa"/>
          </w:tcPr>
          <w:p w14:paraId="32E8BC40">
            <w:pPr>
              <w:pStyle w:val="12"/>
              <w:spacing w:before="21"/>
              <w:ind w:right="459"/>
              <w:rPr>
                <w:rFonts w:ascii="仿宋_GB2312" w:eastAsia="仿宋_GB2312"/>
                <w:color w:val="auto"/>
                <w:sz w:val="30"/>
              </w:rPr>
            </w:pPr>
            <w:r>
              <w:rPr>
                <w:rFonts w:hint="eastAsia" w:ascii="仿宋_GB2312" w:eastAsia="仿宋_GB2312"/>
                <w:color w:val="auto"/>
                <w:sz w:val="30"/>
              </w:rPr>
              <w:t>二等奖</w:t>
            </w:r>
          </w:p>
        </w:tc>
        <w:tc>
          <w:tcPr>
            <w:tcW w:w="1701" w:type="dxa"/>
          </w:tcPr>
          <w:p w14:paraId="2B2629F5">
            <w:pPr>
              <w:pStyle w:val="12"/>
              <w:spacing w:before="21"/>
              <w:ind w:right="389"/>
              <w:rPr>
                <w:rFonts w:ascii="仿宋_GB2312" w:eastAsia="仿宋_GB2312"/>
                <w:color w:val="auto"/>
                <w:sz w:val="30"/>
              </w:rPr>
            </w:pPr>
            <w:r>
              <w:rPr>
                <w:rFonts w:hint="eastAsia" w:ascii="仿宋_GB2312" w:eastAsia="仿宋_GB2312"/>
                <w:color w:val="auto"/>
                <w:sz w:val="30"/>
              </w:rPr>
              <w:t>三等奖</w:t>
            </w:r>
          </w:p>
        </w:tc>
        <w:tc>
          <w:tcPr>
            <w:tcW w:w="1906" w:type="dxa"/>
          </w:tcPr>
          <w:p w14:paraId="6401E403">
            <w:pPr>
              <w:pStyle w:val="12"/>
              <w:spacing w:before="21"/>
              <w:ind w:right="490"/>
              <w:rPr>
                <w:rFonts w:ascii="仿宋_GB2312" w:eastAsia="仿宋_GB2312"/>
                <w:color w:val="auto"/>
                <w:sz w:val="30"/>
              </w:rPr>
            </w:pPr>
            <w:r>
              <w:rPr>
                <w:rFonts w:hint="eastAsia" w:ascii="仿宋_GB2312" w:eastAsia="仿宋_GB2312"/>
                <w:color w:val="auto"/>
                <w:sz w:val="30"/>
              </w:rPr>
              <w:t>优秀奖</w:t>
            </w:r>
          </w:p>
        </w:tc>
      </w:tr>
      <w:tr w14:paraId="16F0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60" w:type="dxa"/>
          </w:tcPr>
          <w:p w14:paraId="5F222D13">
            <w:pPr>
              <w:pStyle w:val="12"/>
              <w:spacing w:before="21"/>
              <w:ind w:left="7"/>
              <w:jc w:val="center"/>
              <w:rPr>
                <w:rFonts w:ascii="仿宋_GB2312" w:eastAsia="仿宋_GB2312"/>
                <w:color w:val="auto"/>
                <w:sz w:val="30"/>
              </w:rPr>
            </w:pPr>
            <w:r>
              <w:rPr>
                <w:rFonts w:hint="eastAsia" w:ascii="仿宋_GB2312" w:eastAsia="仿宋_GB2312"/>
                <w:color w:val="auto"/>
                <w:sz w:val="30"/>
              </w:rPr>
              <w:t>国家级</w:t>
            </w:r>
          </w:p>
        </w:tc>
        <w:tc>
          <w:tcPr>
            <w:tcW w:w="1570" w:type="dxa"/>
          </w:tcPr>
          <w:p w14:paraId="0E6AAE05">
            <w:pPr>
              <w:pStyle w:val="12"/>
              <w:ind w:right="622"/>
              <w:rPr>
                <w:rFonts w:ascii="仿宋_GB2312" w:eastAsia="仿宋_GB2312"/>
                <w:color w:val="auto"/>
                <w:sz w:val="30"/>
              </w:rPr>
            </w:pPr>
            <w:r>
              <w:rPr>
                <w:rFonts w:hint="eastAsia" w:ascii="仿宋_GB2312" w:eastAsia="仿宋_GB2312"/>
                <w:color w:val="auto"/>
                <w:sz w:val="30"/>
              </w:rPr>
              <w:t>14</w:t>
            </w:r>
          </w:p>
        </w:tc>
        <w:tc>
          <w:tcPr>
            <w:tcW w:w="1843" w:type="dxa"/>
          </w:tcPr>
          <w:p w14:paraId="28FF633D">
            <w:pPr>
              <w:pStyle w:val="12"/>
              <w:ind w:right="758"/>
              <w:rPr>
                <w:rFonts w:ascii="仿宋_GB2312" w:eastAsia="仿宋_GB2312"/>
                <w:color w:val="auto"/>
                <w:sz w:val="30"/>
              </w:rPr>
            </w:pPr>
            <w:r>
              <w:rPr>
                <w:rFonts w:hint="eastAsia" w:ascii="仿宋_GB2312" w:eastAsia="仿宋_GB2312"/>
                <w:color w:val="auto"/>
                <w:sz w:val="30"/>
              </w:rPr>
              <w:t>12</w:t>
            </w:r>
          </w:p>
        </w:tc>
        <w:tc>
          <w:tcPr>
            <w:tcW w:w="1701" w:type="dxa"/>
          </w:tcPr>
          <w:p w14:paraId="0283F0D2">
            <w:pPr>
              <w:pStyle w:val="12"/>
              <w:ind w:right="688"/>
              <w:rPr>
                <w:rFonts w:ascii="仿宋_GB2312" w:eastAsia="仿宋_GB2312"/>
                <w:color w:val="auto"/>
                <w:sz w:val="30"/>
              </w:rPr>
            </w:pPr>
            <w:r>
              <w:rPr>
                <w:rFonts w:hint="eastAsia" w:ascii="仿宋_GB2312" w:eastAsia="仿宋_GB2312"/>
                <w:color w:val="auto"/>
                <w:sz w:val="30"/>
              </w:rPr>
              <w:t>10</w:t>
            </w:r>
          </w:p>
        </w:tc>
        <w:tc>
          <w:tcPr>
            <w:tcW w:w="1906" w:type="dxa"/>
          </w:tcPr>
          <w:p w14:paraId="77940BBB">
            <w:pPr>
              <w:pStyle w:val="12"/>
              <w:ind w:right="866"/>
              <w:rPr>
                <w:rFonts w:ascii="仿宋_GB2312" w:eastAsia="仿宋_GB2312"/>
                <w:color w:val="auto"/>
                <w:sz w:val="30"/>
              </w:rPr>
            </w:pPr>
            <w:r>
              <w:rPr>
                <w:rFonts w:hint="eastAsia" w:ascii="仿宋_GB2312" w:eastAsia="仿宋_GB2312"/>
                <w:color w:val="auto"/>
                <w:sz w:val="30"/>
              </w:rPr>
              <w:t>8</w:t>
            </w:r>
          </w:p>
        </w:tc>
      </w:tr>
      <w:tr w14:paraId="1A2BA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60" w:type="dxa"/>
          </w:tcPr>
          <w:p w14:paraId="30345B5B">
            <w:pPr>
              <w:pStyle w:val="12"/>
              <w:spacing w:before="20"/>
              <w:ind w:left="7"/>
              <w:jc w:val="center"/>
              <w:rPr>
                <w:rFonts w:ascii="仿宋_GB2312" w:eastAsia="仿宋_GB2312"/>
                <w:color w:val="auto"/>
                <w:sz w:val="30"/>
              </w:rPr>
            </w:pPr>
            <w:r>
              <w:rPr>
                <w:rFonts w:hint="eastAsia" w:ascii="仿宋_GB2312" w:eastAsia="仿宋_GB2312"/>
                <w:color w:val="auto"/>
                <w:sz w:val="30"/>
              </w:rPr>
              <w:t>省部级</w:t>
            </w:r>
          </w:p>
        </w:tc>
        <w:tc>
          <w:tcPr>
            <w:tcW w:w="1570" w:type="dxa"/>
          </w:tcPr>
          <w:p w14:paraId="39DA13E1">
            <w:pPr>
              <w:pStyle w:val="12"/>
              <w:spacing w:before="52"/>
              <w:ind w:right="622"/>
              <w:rPr>
                <w:rFonts w:ascii="仿宋_GB2312" w:eastAsia="仿宋_GB2312"/>
                <w:color w:val="auto"/>
                <w:sz w:val="30"/>
              </w:rPr>
            </w:pPr>
            <w:r>
              <w:rPr>
                <w:rFonts w:hint="eastAsia" w:ascii="仿宋_GB2312" w:eastAsia="仿宋_GB2312"/>
                <w:color w:val="auto"/>
                <w:sz w:val="30"/>
              </w:rPr>
              <w:t>10</w:t>
            </w:r>
          </w:p>
        </w:tc>
        <w:tc>
          <w:tcPr>
            <w:tcW w:w="1843" w:type="dxa"/>
          </w:tcPr>
          <w:p w14:paraId="4595CCC5">
            <w:pPr>
              <w:pStyle w:val="12"/>
              <w:spacing w:before="52"/>
              <w:ind w:right="835"/>
              <w:rPr>
                <w:rFonts w:ascii="仿宋_GB2312" w:eastAsia="仿宋_GB2312"/>
                <w:color w:val="auto"/>
                <w:sz w:val="30"/>
              </w:rPr>
            </w:pPr>
            <w:r>
              <w:rPr>
                <w:rFonts w:hint="eastAsia" w:ascii="仿宋_GB2312" w:eastAsia="仿宋_GB2312"/>
                <w:color w:val="auto"/>
                <w:sz w:val="30"/>
              </w:rPr>
              <w:t>8</w:t>
            </w:r>
          </w:p>
        </w:tc>
        <w:tc>
          <w:tcPr>
            <w:tcW w:w="1701" w:type="dxa"/>
          </w:tcPr>
          <w:p w14:paraId="70E36947">
            <w:pPr>
              <w:pStyle w:val="12"/>
              <w:spacing w:before="52"/>
              <w:ind w:right="765"/>
              <w:rPr>
                <w:rFonts w:ascii="仿宋_GB2312" w:eastAsia="仿宋_GB2312"/>
                <w:color w:val="auto"/>
                <w:sz w:val="30"/>
              </w:rPr>
            </w:pPr>
            <w:r>
              <w:rPr>
                <w:rFonts w:hint="eastAsia" w:ascii="仿宋_GB2312" w:eastAsia="仿宋_GB2312"/>
                <w:color w:val="auto"/>
                <w:sz w:val="30"/>
              </w:rPr>
              <w:t>6</w:t>
            </w:r>
          </w:p>
        </w:tc>
        <w:tc>
          <w:tcPr>
            <w:tcW w:w="1906" w:type="dxa"/>
          </w:tcPr>
          <w:p w14:paraId="3F0E66C8">
            <w:pPr>
              <w:pStyle w:val="12"/>
              <w:spacing w:before="52"/>
              <w:ind w:right="866"/>
              <w:rPr>
                <w:rFonts w:ascii="仿宋_GB2312" w:eastAsia="仿宋_GB2312"/>
                <w:color w:val="auto"/>
                <w:sz w:val="30"/>
              </w:rPr>
            </w:pPr>
            <w:r>
              <w:rPr>
                <w:rFonts w:hint="eastAsia" w:ascii="仿宋_GB2312" w:eastAsia="仿宋_GB2312"/>
                <w:color w:val="auto"/>
                <w:sz w:val="30"/>
              </w:rPr>
              <w:t>5</w:t>
            </w:r>
          </w:p>
        </w:tc>
      </w:tr>
      <w:tr w14:paraId="7E00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60" w:type="dxa"/>
          </w:tcPr>
          <w:p w14:paraId="0A02764E">
            <w:pPr>
              <w:pStyle w:val="12"/>
              <w:tabs>
                <w:tab w:val="left" w:pos="607"/>
              </w:tabs>
              <w:spacing w:before="22"/>
              <w:ind w:left="7"/>
              <w:jc w:val="center"/>
              <w:rPr>
                <w:rFonts w:ascii="仿宋_GB2312" w:eastAsia="仿宋_GB2312"/>
                <w:color w:val="auto"/>
                <w:sz w:val="30"/>
              </w:rPr>
            </w:pPr>
            <w:r>
              <w:rPr>
                <w:rFonts w:hint="eastAsia" w:ascii="仿宋_GB2312" w:eastAsia="仿宋_GB2312"/>
                <w:color w:val="auto"/>
                <w:sz w:val="30"/>
              </w:rPr>
              <w:t>校</w:t>
            </w:r>
            <w:r>
              <w:rPr>
                <w:rFonts w:hint="eastAsia" w:ascii="仿宋_GB2312" w:eastAsia="仿宋_GB2312"/>
                <w:color w:val="auto"/>
                <w:sz w:val="30"/>
              </w:rPr>
              <w:tab/>
            </w:r>
            <w:r>
              <w:rPr>
                <w:rFonts w:hint="eastAsia" w:ascii="仿宋_GB2312" w:eastAsia="仿宋_GB2312"/>
                <w:color w:val="auto"/>
                <w:sz w:val="30"/>
              </w:rPr>
              <w:t>级</w:t>
            </w:r>
          </w:p>
        </w:tc>
        <w:tc>
          <w:tcPr>
            <w:tcW w:w="1570" w:type="dxa"/>
          </w:tcPr>
          <w:p w14:paraId="624C7D50">
            <w:pPr>
              <w:pStyle w:val="12"/>
              <w:ind w:right="698"/>
              <w:rPr>
                <w:rFonts w:ascii="仿宋_GB2312" w:eastAsia="仿宋_GB2312"/>
                <w:color w:val="auto"/>
                <w:sz w:val="30"/>
              </w:rPr>
            </w:pPr>
            <w:r>
              <w:rPr>
                <w:rFonts w:hint="eastAsia" w:ascii="仿宋_GB2312" w:eastAsia="仿宋_GB2312"/>
                <w:color w:val="auto"/>
                <w:sz w:val="30"/>
              </w:rPr>
              <w:t>6</w:t>
            </w:r>
          </w:p>
        </w:tc>
        <w:tc>
          <w:tcPr>
            <w:tcW w:w="1843" w:type="dxa"/>
          </w:tcPr>
          <w:p w14:paraId="581EC963">
            <w:pPr>
              <w:pStyle w:val="12"/>
              <w:ind w:right="835"/>
              <w:rPr>
                <w:rFonts w:ascii="仿宋_GB2312" w:eastAsia="仿宋_GB2312"/>
                <w:color w:val="auto"/>
                <w:sz w:val="30"/>
              </w:rPr>
            </w:pPr>
            <w:r>
              <w:rPr>
                <w:rFonts w:hint="eastAsia" w:ascii="仿宋_GB2312" w:eastAsia="仿宋_GB2312"/>
                <w:color w:val="auto"/>
                <w:sz w:val="30"/>
              </w:rPr>
              <w:t>4</w:t>
            </w:r>
          </w:p>
        </w:tc>
        <w:tc>
          <w:tcPr>
            <w:tcW w:w="1701" w:type="dxa"/>
          </w:tcPr>
          <w:p w14:paraId="754D7158">
            <w:pPr>
              <w:pStyle w:val="12"/>
              <w:ind w:right="765"/>
              <w:rPr>
                <w:rFonts w:ascii="仿宋_GB2312" w:eastAsia="仿宋_GB2312"/>
                <w:color w:val="auto"/>
                <w:sz w:val="30"/>
              </w:rPr>
            </w:pPr>
            <w:r>
              <w:rPr>
                <w:rFonts w:hint="eastAsia" w:ascii="仿宋_GB2312" w:eastAsia="仿宋_GB2312"/>
                <w:color w:val="auto"/>
                <w:sz w:val="30"/>
              </w:rPr>
              <w:t>3</w:t>
            </w:r>
          </w:p>
        </w:tc>
        <w:tc>
          <w:tcPr>
            <w:tcW w:w="1906" w:type="dxa"/>
          </w:tcPr>
          <w:p w14:paraId="571F2A09">
            <w:pPr>
              <w:pStyle w:val="12"/>
              <w:ind w:right="866"/>
              <w:rPr>
                <w:rFonts w:ascii="仿宋_GB2312" w:eastAsia="仿宋_GB2312"/>
                <w:color w:val="auto"/>
                <w:sz w:val="30"/>
              </w:rPr>
            </w:pPr>
            <w:r>
              <w:rPr>
                <w:rFonts w:hint="eastAsia" w:ascii="仿宋_GB2312" w:eastAsia="仿宋_GB2312"/>
                <w:color w:val="auto"/>
                <w:sz w:val="30"/>
              </w:rPr>
              <w:t>2</w:t>
            </w:r>
          </w:p>
        </w:tc>
      </w:tr>
      <w:tr w14:paraId="3994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60" w:type="dxa"/>
          </w:tcPr>
          <w:p w14:paraId="1BE9DC7F">
            <w:pPr>
              <w:pStyle w:val="12"/>
              <w:tabs>
                <w:tab w:val="left" w:pos="607"/>
              </w:tabs>
              <w:spacing w:before="21"/>
              <w:ind w:left="7"/>
              <w:jc w:val="center"/>
              <w:rPr>
                <w:rFonts w:ascii="仿宋_GB2312" w:eastAsia="仿宋_GB2312"/>
                <w:color w:val="auto"/>
                <w:sz w:val="30"/>
              </w:rPr>
            </w:pPr>
            <w:r>
              <w:rPr>
                <w:rFonts w:hint="eastAsia" w:ascii="仿宋_GB2312" w:eastAsia="仿宋_GB2312"/>
                <w:color w:val="auto"/>
                <w:sz w:val="30"/>
              </w:rPr>
              <w:t>院</w:t>
            </w:r>
            <w:r>
              <w:rPr>
                <w:rFonts w:hint="eastAsia" w:ascii="仿宋_GB2312" w:eastAsia="仿宋_GB2312"/>
                <w:color w:val="auto"/>
                <w:sz w:val="30"/>
              </w:rPr>
              <w:tab/>
            </w:r>
            <w:r>
              <w:rPr>
                <w:rFonts w:hint="eastAsia" w:ascii="仿宋_GB2312" w:eastAsia="仿宋_GB2312"/>
                <w:color w:val="auto"/>
                <w:sz w:val="30"/>
              </w:rPr>
              <w:t>级</w:t>
            </w:r>
          </w:p>
        </w:tc>
        <w:tc>
          <w:tcPr>
            <w:tcW w:w="1570" w:type="dxa"/>
          </w:tcPr>
          <w:p w14:paraId="34B9638C">
            <w:pPr>
              <w:pStyle w:val="12"/>
              <w:ind w:right="698"/>
              <w:rPr>
                <w:rFonts w:ascii="仿宋_GB2312" w:eastAsia="仿宋_GB2312"/>
                <w:color w:val="auto"/>
                <w:sz w:val="30"/>
              </w:rPr>
            </w:pPr>
            <w:r>
              <w:rPr>
                <w:rFonts w:hint="eastAsia" w:ascii="仿宋_GB2312" w:eastAsia="仿宋_GB2312"/>
                <w:color w:val="auto"/>
                <w:sz w:val="30"/>
              </w:rPr>
              <w:t>4</w:t>
            </w:r>
          </w:p>
        </w:tc>
        <w:tc>
          <w:tcPr>
            <w:tcW w:w="1843" w:type="dxa"/>
          </w:tcPr>
          <w:p w14:paraId="529CFE43">
            <w:pPr>
              <w:pStyle w:val="12"/>
              <w:ind w:right="835"/>
              <w:rPr>
                <w:rFonts w:ascii="仿宋_GB2312" w:eastAsia="仿宋_GB2312"/>
                <w:color w:val="auto"/>
                <w:sz w:val="30"/>
              </w:rPr>
            </w:pPr>
            <w:r>
              <w:rPr>
                <w:rFonts w:hint="eastAsia" w:ascii="仿宋_GB2312" w:eastAsia="仿宋_GB2312"/>
                <w:color w:val="auto"/>
                <w:sz w:val="30"/>
              </w:rPr>
              <w:t>3</w:t>
            </w:r>
          </w:p>
        </w:tc>
        <w:tc>
          <w:tcPr>
            <w:tcW w:w="1701" w:type="dxa"/>
          </w:tcPr>
          <w:p w14:paraId="3BB1D121">
            <w:pPr>
              <w:pStyle w:val="12"/>
              <w:ind w:right="765"/>
              <w:rPr>
                <w:rFonts w:ascii="仿宋_GB2312" w:eastAsia="仿宋_GB2312"/>
                <w:color w:val="auto"/>
                <w:sz w:val="30"/>
              </w:rPr>
            </w:pPr>
            <w:r>
              <w:rPr>
                <w:rFonts w:hint="eastAsia" w:ascii="仿宋_GB2312" w:eastAsia="仿宋_GB2312"/>
                <w:color w:val="auto"/>
                <w:sz w:val="30"/>
              </w:rPr>
              <w:t>2</w:t>
            </w:r>
          </w:p>
        </w:tc>
        <w:tc>
          <w:tcPr>
            <w:tcW w:w="1906" w:type="dxa"/>
          </w:tcPr>
          <w:p w14:paraId="6BC1FEB3">
            <w:pPr>
              <w:pStyle w:val="12"/>
              <w:ind w:right="866"/>
              <w:rPr>
                <w:rFonts w:ascii="仿宋_GB2312" w:eastAsia="仿宋_GB2312"/>
                <w:color w:val="auto"/>
                <w:sz w:val="30"/>
              </w:rPr>
            </w:pPr>
            <w:r>
              <w:rPr>
                <w:rFonts w:hint="eastAsia" w:ascii="仿宋_GB2312" w:eastAsia="仿宋_GB2312"/>
                <w:color w:val="auto"/>
                <w:sz w:val="30"/>
              </w:rPr>
              <w:t>1</w:t>
            </w:r>
          </w:p>
        </w:tc>
      </w:tr>
    </w:tbl>
    <w:p w14:paraId="2D33A673">
      <w:pPr>
        <w:ind w:firstLine="600" w:firstLineChars="200"/>
        <w:rPr>
          <w:rFonts w:hint="eastAsia" w:ascii="仿宋_GB2312" w:eastAsia="仿宋_GB2312"/>
          <w:color w:val="auto"/>
          <w:sz w:val="30"/>
          <w:szCs w:val="30"/>
        </w:rPr>
      </w:pPr>
    </w:p>
    <w:p w14:paraId="41C19CD0">
      <w:pPr>
        <w:ind w:firstLine="600" w:firstLineChars="200"/>
        <w:rPr>
          <w:rFonts w:ascii="仿宋_GB2312" w:eastAsia="仿宋_GB2312"/>
          <w:color w:val="auto"/>
          <w:sz w:val="30"/>
          <w:szCs w:val="30"/>
        </w:rPr>
      </w:pPr>
      <w:r>
        <w:rPr>
          <w:rFonts w:hint="eastAsia" w:ascii="仿宋_GB2312" w:eastAsia="仿宋_GB2312"/>
          <w:color w:val="auto"/>
          <w:sz w:val="30"/>
          <w:szCs w:val="30"/>
        </w:rPr>
        <w:t>备注：参与非同一类活动但未获奖者每次可加 0.5 分，但最高不超过 2 分。参加同一活动不同级别的活动获奖者，以最高分计，不重复计分。</w:t>
      </w:r>
    </w:p>
    <w:p w14:paraId="52393613">
      <w:pPr>
        <w:ind w:firstLine="600" w:firstLineChars="200"/>
        <w:rPr>
          <w:rFonts w:ascii="仿宋_GB2312" w:eastAsia="仿宋_GB2312"/>
          <w:color w:val="auto"/>
          <w:sz w:val="30"/>
          <w:szCs w:val="30"/>
        </w:rPr>
      </w:pPr>
      <w:r>
        <w:rPr>
          <w:rFonts w:hint="eastAsia" w:ascii="仿宋_GB2312" w:eastAsia="仿宋_GB2312"/>
          <w:color w:val="auto"/>
          <w:sz w:val="30"/>
          <w:szCs w:val="30"/>
        </w:rPr>
        <w:t>②团体奖项加分：</w:t>
      </w:r>
    </w:p>
    <w:p w14:paraId="65E107A6">
      <w:pPr>
        <w:rPr>
          <w:rFonts w:ascii="仿宋_GB2312" w:eastAsia="仿宋_GB2312"/>
          <w:color w:val="auto"/>
          <w:sz w:val="30"/>
          <w:szCs w:val="30"/>
        </w:rPr>
      </w:pPr>
      <w:r>
        <w:rPr>
          <w:rFonts w:hint="eastAsia" w:ascii="仿宋_GB2312" w:eastAsia="仿宋_GB2312"/>
          <w:color w:val="auto"/>
          <w:sz w:val="30"/>
          <w:szCs w:val="30"/>
        </w:rPr>
        <w:t>个人加分 = 团体奖项分数 X×2 /团体人数；获奖等级按名次设定，即第 1、2 名以一等奖计；第 3 至 5 名按二等奖计；第 6 至8 名按三等奖计。具体加分与个人奖项加分一样；参加同一活动不同级别的活动获奖者，以最高分计，不重复计分。体育活动不在此加分。</w:t>
      </w:r>
    </w:p>
    <w:p w14:paraId="4D49C35F">
      <w:pPr>
        <w:ind w:firstLine="600" w:firstLineChars="200"/>
        <w:rPr>
          <w:rFonts w:ascii="仿宋_GB2312" w:eastAsia="仿宋_GB2312"/>
          <w:color w:val="auto"/>
          <w:sz w:val="30"/>
          <w:szCs w:val="30"/>
        </w:rPr>
      </w:pPr>
      <w:r>
        <w:rPr>
          <w:rFonts w:hint="eastAsia" w:ascii="仿宋_GB2312" w:eastAsia="仿宋_GB2312"/>
          <w:color w:val="auto"/>
          <w:sz w:val="30"/>
          <w:szCs w:val="30"/>
        </w:rPr>
        <w:t>③参加学生会及社团组织的活动，每次加 1 分，最多加 3 分（需有效证明），文艺晚会演艺人员（含主持人）加 3 分；其他学校及学院的非竞赛性活动，依据其训练强度，参照文艺晚会标准酌情加分。</w:t>
      </w:r>
    </w:p>
    <w:p w14:paraId="46F7AA76">
      <w:pPr>
        <w:ind w:firstLine="600" w:firstLineChars="200"/>
        <w:rPr>
          <w:rFonts w:ascii="仿宋_GB2312" w:eastAsia="仿宋_GB2312"/>
          <w:color w:val="auto"/>
          <w:sz w:val="30"/>
          <w:szCs w:val="30"/>
        </w:rPr>
      </w:pPr>
      <w:r>
        <w:rPr>
          <w:rFonts w:hint="eastAsia" w:ascii="仿宋_GB2312" w:eastAsia="仿宋_GB2312"/>
          <w:color w:val="auto"/>
          <w:sz w:val="30"/>
          <w:szCs w:val="30"/>
        </w:rPr>
        <w:t>（3）科研及创新能力奖励加分</w:t>
      </w:r>
    </w:p>
    <w:p w14:paraId="036B9BFD">
      <w:pPr>
        <w:ind w:firstLine="600" w:firstLineChars="200"/>
        <w:rPr>
          <w:rFonts w:ascii="仿宋_GB2312" w:eastAsia="仿宋_GB2312"/>
          <w:color w:val="auto"/>
          <w:sz w:val="30"/>
          <w:szCs w:val="30"/>
        </w:rPr>
      </w:pPr>
      <w:r>
        <w:rPr>
          <w:rFonts w:hint="eastAsia" w:ascii="仿宋_GB2312" w:eastAsia="仿宋_GB2312"/>
          <w:color w:val="auto"/>
          <w:sz w:val="30"/>
          <w:szCs w:val="30"/>
        </w:rPr>
        <w:t>①在国家正式出版物上发表专业学术论文，按如下标准加分：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3000"/>
        <w:gridCol w:w="3442"/>
      </w:tblGrid>
      <w:tr w14:paraId="4E7F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952" w:type="dxa"/>
          </w:tcPr>
          <w:p w14:paraId="643DFA93">
            <w:pPr>
              <w:pStyle w:val="12"/>
              <w:tabs>
                <w:tab w:val="left" w:pos="611"/>
              </w:tabs>
              <w:spacing w:before="23"/>
              <w:ind w:left="11"/>
              <w:jc w:val="center"/>
              <w:rPr>
                <w:rFonts w:ascii="仿宋_GB2312" w:eastAsia="仿宋_GB2312"/>
                <w:color w:val="auto"/>
                <w:sz w:val="30"/>
              </w:rPr>
            </w:pPr>
            <w:r>
              <w:rPr>
                <w:rFonts w:hint="eastAsia" w:ascii="仿宋_GB2312" w:eastAsia="仿宋_GB2312"/>
                <w:color w:val="auto"/>
                <w:sz w:val="30"/>
              </w:rPr>
              <w:t>等</w:t>
            </w:r>
            <w:r>
              <w:rPr>
                <w:rFonts w:hint="eastAsia" w:ascii="仿宋_GB2312" w:eastAsia="仿宋_GB2312"/>
                <w:color w:val="auto"/>
                <w:sz w:val="30"/>
              </w:rPr>
              <w:tab/>
            </w:r>
            <w:r>
              <w:rPr>
                <w:rFonts w:hint="eastAsia" w:ascii="仿宋_GB2312" w:eastAsia="仿宋_GB2312"/>
                <w:color w:val="auto"/>
                <w:sz w:val="30"/>
              </w:rPr>
              <w:t>级</w:t>
            </w:r>
          </w:p>
        </w:tc>
        <w:tc>
          <w:tcPr>
            <w:tcW w:w="3000" w:type="dxa"/>
          </w:tcPr>
          <w:p w14:paraId="2A53B363">
            <w:pPr>
              <w:pStyle w:val="12"/>
              <w:spacing w:before="0"/>
              <w:ind w:right="833"/>
              <w:jc w:val="center"/>
              <w:rPr>
                <w:rFonts w:ascii="仿宋_GB2312" w:eastAsia="仿宋_GB2312"/>
                <w:color w:val="auto"/>
                <w:sz w:val="30"/>
              </w:rPr>
            </w:pPr>
            <w:r>
              <w:rPr>
                <w:rFonts w:hint="eastAsia" w:ascii="仿宋_GB2312" w:eastAsia="仿宋_GB2312"/>
                <w:color w:val="auto"/>
                <w:sz w:val="30"/>
              </w:rPr>
              <w:t xml:space="preserve">    第1作者</w:t>
            </w:r>
          </w:p>
        </w:tc>
        <w:tc>
          <w:tcPr>
            <w:tcW w:w="3442" w:type="dxa"/>
          </w:tcPr>
          <w:p w14:paraId="243115BB">
            <w:pPr>
              <w:pStyle w:val="12"/>
              <w:spacing w:before="0"/>
              <w:ind w:right="930" w:firstLine="1050" w:firstLineChars="350"/>
              <w:jc w:val="both"/>
              <w:rPr>
                <w:rFonts w:ascii="仿宋_GB2312" w:eastAsia="仿宋_GB2312"/>
                <w:color w:val="auto"/>
                <w:sz w:val="30"/>
              </w:rPr>
            </w:pPr>
            <w:r>
              <w:rPr>
                <w:rFonts w:hint="eastAsia" w:ascii="仿宋_GB2312" w:eastAsia="仿宋_GB2312"/>
                <w:color w:val="auto"/>
                <w:sz w:val="30"/>
              </w:rPr>
              <w:t>第2-5作者</w:t>
            </w:r>
          </w:p>
        </w:tc>
      </w:tr>
      <w:tr w14:paraId="22DC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52" w:type="dxa"/>
          </w:tcPr>
          <w:p w14:paraId="1DAE8899">
            <w:pPr>
              <w:pStyle w:val="12"/>
              <w:spacing w:before="22"/>
              <w:ind w:left="11"/>
              <w:jc w:val="center"/>
              <w:rPr>
                <w:rFonts w:ascii="仿宋_GB2312" w:eastAsia="仿宋_GB2312"/>
                <w:color w:val="auto"/>
                <w:sz w:val="30"/>
              </w:rPr>
            </w:pPr>
            <w:r>
              <w:rPr>
                <w:rFonts w:hint="eastAsia" w:ascii="仿宋_GB2312" w:eastAsia="仿宋_GB2312"/>
                <w:color w:val="auto"/>
                <w:sz w:val="30"/>
              </w:rPr>
              <w:t>国家级</w:t>
            </w:r>
          </w:p>
        </w:tc>
        <w:tc>
          <w:tcPr>
            <w:tcW w:w="3000" w:type="dxa"/>
          </w:tcPr>
          <w:p w14:paraId="1BC06815">
            <w:pPr>
              <w:pStyle w:val="12"/>
              <w:spacing w:before="54"/>
              <w:ind w:left="841" w:right="832"/>
              <w:jc w:val="center"/>
              <w:rPr>
                <w:rFonts w:ascii="仿宋_GB2312" w:eastAsia="仿宋_GB2312"/>
                <w:color w:val="auto"/>
                <w:sz w:val="30"/>
              </w:rPr>
            </w:pPr>
            <w:r>
              <w:rPr>
                <w:rFonts w:hint="eastAsia" w:ascii="仿宋_GB2312" w:eastAsia="仿宋_GB2312"/>
                <w:color w:val="auto"/>
                <w:sz w:val="30"/>
              </w:rPr>
              <w:t>15</w:t>
            </w:r>
          </w:p>
        </w:tc>
        <w:tc>
          <w:tcPr>
            <w:tcW w:w="3442" w:type="dxa"/>
          </w:tcPr>
          <w:p w14:paraId="28487C56">
            <w:pPr>
              <w:pStyle w:val="12"/>
              <w:spacing w:before="54"/>
              <w:ind w:left="11"/>
              <w:jc w:val="center"/>
              <w:rPr>
                <w:rFonts w:ascii="仿宋_GB2312" w:eastAsia="仿宋_GB2312"/>
                <w:color w:val="auto"/>
                <w:sz w:val="30"/>
              </w:rPr>
            </w:pPr>
            <w:r>
              <w:rPr>
                <w:rFonts w:hint="eastAsia" w:ascii="仿宋_GB2312" w:eastAsia="仿宋_GB2312"/>
                <w:color w:val="auto"/>
                <w:sz w:val="30"/>
              </w:rPr>
              <w:t>3</w:t>
            </w:r>
          </w:p>
        </w:tc>
      </w:tr>
      <w:tr w14:paraId="1C1C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952" w:type="dxa"/>
          </w:tcPr>
          <w:p w14:paraId="76CD918A">
            <w:pPr>
              <w:pStyle w:val="12"/>
              <w:spacing w:before="21"/>
              <w:ind w:left="11"/>
              <w:jc w:val="center"/>
              <w:rPr>
                <w:rFonts w:ascii="仿宋_GB2312" w:eastAsia="仿宋_GB2312"/>
                <w:color w:val="auto"/>
                <w:sz w:val="30"/>
              </w:rPr>
            </w:pPr>
            <w:r>
              <w:rPr>
                <w:rFonts w:hint="eastAsia" w:ascii="仿宋_GB2312" w:eastAsia="仿宋_GB2312"/>
                <w:color w:val="auto"/>
                <w:sz w:val="30"/>
              </w:rPr>
              <w:t>省部级</w:t>
            </w:r>
          </w:p>
        </w:tc>
        <w:tc>
          <w:tcPr>
            <w:tcW w:w="3000" w:type="dxa"/>
          </w:tcPr>
          <w:p w14:paraId="716954CC">
            <w:pPr>
              <w:pStyle w:val="12"/>
              <w:ind w:left="842" w:right="828"/>
              <w:jc w:val="center"/>
              <w:rPr>
                <w:rFonts w:ascii="仿宋_GB2312" w:eastAsia="仿宋_GB2312"/>
                <w:color w:val="auto"/>
                <w:sz w:val="30"/>
              </w:rPr>
            </w:pPr>
            <w:r>
              <w:rPr>
                <w:rFonts w:hint="eastAsia" w:ascii="仿宋_GB2312" w:eastAsia="仿宋_GB2312"/>
                <w:color w:val="auto"/>
                <w:sz w:val="30"/>
              </w:rPr>
              <w:t>11</w:t>
            </w:r>
          </w:p>
        </w:tc>
        <w:tc>
          <w:tcPr>
            <w:tcW w:w="3442" w:type="dxa"/>
          </w:tcPr>
          <w:p w14:paraId="60B87921">
            <w:pPr>
              <w:pStyle w:val="12"/>
              <w:ind w:left="11"/>
              <w:jc w:val="center"/>
              <w:rPr>
                <w:rFonts w:ascii="仿宋_GB2312" w:eastAsia="仿宋_GB2312"/>
                <w:color w:val="auto"/>
                <w:sz w:val="30"/>
              </w:rPr>
            </w:pPr>
            <w:r>
              <w:rPr>
                <w:rFonts w:hint="eastAsia" w:ascii="仿宋_GB2312" w:eastAsia="仿宋_GB2312"/>
                <w:color w:val="auto"/>
                <w:sz w:val="30"/>
              </w:rPr>
              <w:t>2</w:t>
            </w:r>
          </w:p>
        </w:tc>
      </w:tr>
      <w:tr w14:paraId="3321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52" w:type="dxa"/>
          </w:tcPr>
          <w:p w14:paraId="49DC3ED0">
            <w:pPr>
              <w:pStyle w:val="12"/>
              <w:spacing w:before="23"/>
              <w:ind w:left="11"/>
              <w:jc w:val="center"/>
              <w:rPr>
                <w:rFonts w:ascii="仿宋_GB2312" w:eastAsia="仿宋_GB2312"/>
                <w:color w:val="auto"/>
                <w:sz w:val="30"/>
              </w:rPr>
            </w:pPr>
            <w:r>
              <w:rPr>
                <w:rFonts w:hint="eastAsia" w:ascii="仿宋_GB2312" w:eastAsia="仿宋_GB2312"/>
                <w:color w:val="auto"/>
                <w:sz w:val="30"/>
              </w:rPr>
              <w:t>市校级</w:t>
            </w:r>
          </w:p>
        </w:tc>
        <w:tc>
          <w:tcPr>
            <w:tcW w:w="3000" w:type="dxa"/>
          </w:tcPr>
          <w:p w14:paraId="219C3262">
            <w:pPr>
              <w:pStyle w:val="12"/>
              <w:spacing w:before="55"/>
              <w:ind w:left="7"/>
              <w:jc w:val="center"/>
              <w:rPr>
                <w:rFonts w:ascii="仿宋_GB2312" w:eastAsia="仿宋_GB2312"/>
                <w:color w:val="auto"/>
                <w:sz w:val="30"/>
              </w:rPr>
            </w:pPr>
            <w:r>
              <w:rPr>
                <w:rFonts w:hint="eastAsia" w:ascii="仿宋_GB2312" w:eastAsia="仿宋_GB2312"/>
                <w:color w:val="auto"/>
                <w:sz w:val="30"/>
              </w:rPr>
              <w:t>5</w:t>
            </w:r>
          </w:p>
        </w:tc>
        <w:tc>
          <w:tcPr>
            <w:tcW w:w="3442" w:type="dxa"/>
          </w:tcPr>
          <w:p w14:paraId="08E17C61">
            <w:pPr>
              <w:pStyle w:val="12"/>
              <w:spacing w:before="55"/>
              <w:ind w:left="11"/>
              <w:jc w:val="center"/>
              <w:rPr>
                <w:rFonts w:ascii="仿宋_GB2312" w:eastAsia="仿宋_GB2312"/>
                <w:color w:val="auto"/>
                <w:sz w:val="30"/>
              </w:rPr>
            </w:pPr>
            <w:r>
              <w:rPr>
                <w:rFonts w:hint="eastAsia" w:ascii="仿宋_GB2312" w:eastAsia="仿宋_GB2312"/>
                <w:color w:val="auto"/>
                <w:sz w:val="30"/>
              </w:rPr>
              <w:t>1</w:t>
            </w:r>
          </w:p>
        </w:tc>
      </w:tr>
    </w:tbl>
    <w:p w14:paraId="499FF2F0">
      <w:pPr>
        <w:ind w:firstLine="600" w:firstLineChars="200"/>
        <w:rPr>
          <w:rFonts w:ascii="仿宋_GB2312" w:eastAsia="仿宋_GB2312"/>
          <w:color w:val="auto"/>
          <w:sz w:val="30"/>
          <w:szCs w:val="30"/>
        </w:rPr>
      </w:pPr>
    </w:p>
    <w:p w14:paraId="3120C878">
      <w:pPr>
        <w:ind w:firstLine="600" w:firstLineChars="200"/>
        <w:rPr>
          <w:rFonts w:ascii="仿宋_GB2312" w:eastAsia="仿宋_GB2312"/>
          <w:color w:val="auto"/>
          <w:sz w:val="30"/>
          <w:szCs w:val="30"/>
        </w:rPr>
      </w:pPr>
      <w:r>
        <w:rPr>
          <w:rFonts w:hint="eastAsia" w:ascii="仿宋_GB2312" w:eastAsia="仿宋_GB2312"/>
          <w:color w:val="auto"/>
          <w:sz w:val="30"/>
          <w:szCs w:val="30"/>
        </w:rPr>
        <w:t>②参加学术性专业竞赛，按如下标准加分：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2160"/>
        <w:gridCol w:w="1620"/>
        <w:gridCol w:w="1620"/>
        <w:gridCol w:w="1620"/>
      </w:tblGrid>
      <w:tr w14:paraId="27A01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52" w:type="dxa"/>
          </w:tcPr>
          <w:p w14:paraId="473D749C">
            <w:pPr>
              <w:pStyle w:val="12"/>
              <w:tabs>
                <w:tab w:val="left" w:pos="607"/>
              </w:tabs>
              <w:spacing w:before="22"/>
              <w:ind w:left="7"/>
              <w:jc w:val="center"/>
              <w:rPr>
                <w:rFonts w:ascii="仿宋_GB2312" w:eastAsia="仿宋_GB2312"/>
                <w:color w:val="auto"/>
                <w:sz w:val="30"/>
              </w:rPr>
            </w:pPr>
            <w:r>
              <w:rPr>
                <w:rFonts w:hint="eastAsia" w:ascii="仿宋_GB2312" w:eastAsia="仿宋_GB2312"/>
                <w:color w:val="auto"/>
                <w:sz w:val="30"/>
              </w:rPr>
              <w:t>等</w:t>
            </w:r>
            <w:r>
              <w:rPr>
                <w:rFonts w:hint="eastAsia" w:ascii="仿宋_GB2312" w:eastAsia="仿宋_GB2312"/>
                <w:color w:val="auto"/>
                <w:sz w:val="30"/>
              </w:rPr>
              <w:tab/>
            </w:r>
            <w:r>
              <w:rPr>
                <w:rFonts w:hint="eastAsia" w:ascii="仿宋_GB2312" w:eastAsia="仿宋_GB2312"/>
                <w:color w:val="auto"/>
                <w:sz w:val="30"/>
              </w:rPr>
              <w:t>级</w:t>
            </w:r>
          </w:p>
        </w:tc>
        <w:tc>
          <w:tcPr>
            <w:tcW w:w="2160" w:type="dxa"/>
          </w:tcPr>
          <w:p w14:paraId="645FF6F2">
            <w:pPr>
              <w:pStyle w:val="12"/>
              <w:spacing w:before="22"/>
              <w:ind w:right="619"/>
              <w:rPr>
                <w:rFonts w:ascii="仿宋_GB2312" w:eastAsia="仿宋_GB2312"/>
                <w:color w:val="auto"/>
                <w:sz w:val="30"/>
              </w:rPr>
            </w:pPr>
            <w:r>
              <w:rPr>
                <w:rFonts w:hint="eastAsia" w:ascii="仿宋_GB2312" w:eastAsia="仿宋_GB2312"/>
                <w:color w:val="auto"/>
                <w:sz w:val="30"/>
              </w:rPr>
              <w:t>一等奖</w:t>
            </w:r>
          </w:p>
        </w:tc>
        <w:tc>
          <w:tcPr>
            <w:tcW w:w="1620" w:type="dxa"/>
          </w:tcPr>
          <w:p w14:paraId="363A073B">
            <w:pPr>
              <w:pStyle w:val="12"/>
              <w:spacing w:before="22"/>
              <w:ind w:right="348"/>
              <w:rPr>
                <w:rFonts w:ascii="仿宋_GB2312" w:eastAsia="仿宋_GB2312"/>
                <w:color w:val="auto"/>
                <w:sz w:val="30"/>
              </w:rPr>
            </w:pPr>
            <w:r>
              <w:rPr>
                <w:rFonts w:hint="eastAsia" w:ascii="仿宋_GB2312" w:eastAsia="仿宋_GB2312"/>
                <w:color w:val="auto"/>
                <w:sz w:val="30"/>
              </w:rPr>
              <w:t>二等奖</w:t>
            </w:r>
          </w:p>
        </w:tc>
        <w:tc>
          <w:tcPr>
            <w:tcW w:w="1620" w:type="dxa"/>
          </w:tcPr>
          <w:p w14:paraId="4478105B">
            <w:pPr>
              <w:pStyle w:val="12"/>
              <w:spacing w:before="22"/>
              <w:ind w:right="348"/>
              <w:rPr>
                <w:rFonts w:ascii="仿宋_GB2312" w:eastAsia="仿宋_GB2312"/>
                <w:color w:val="auto"/>
                <w:sz w:val="30"/>
              </w:rPr>
            </w:pPr>
            <w:r>
              <w:rPr>
                <w:rFonts w:hint="eastAsia" w:ascii="仿宋_GB2312" w:eastAsia="仿宋_GB2312"/>
                <w:color w:val="auto"/>
                <w:sz w:val="30"/>
              </w:rPr>
              <w:t>三等奖</w:t>
            </w:r>
          </w:p>
        </w:tc>
        <w:tc>
          <w:tcPr>
            <w:tcW w:w="1620" w:type="dxa"/>
          </w:tcPr>
          <w:p w14:paraId="32D4DBDA">
            <w:pPr>
              <w:pStyle w:val="12"/>
              <w:spacing w:before="15"/>
              <w:ind w:right="348"/>
              <w:rPr>
                <w:rFonts w:ascii="仿宋_GB2312" w:eastAsia="仿宋_GB2312"/>
                <w:color w:val="auto"/>
                <w:sz w:val="30"/>
              </w:rPr>
            </w:pPr>
            <w:r>
              <w:rPr>
                <w:rFonts w:hint="eastAsia" w:ascii="仿宋_GB2312" w:eastAsia="仿宋_GB2312"/>
                <w:color w:val="auto"/>
                <w:sz w:val="30"/>
              </w:rPr>
              <w:t>优秀奖</w:t>
            </w:r>
          </w:p>
        </w:tc>
      </w:tr>
      <w:tr w14:paraId="5042A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52" w:type="dxa"/>
          </w:tcPr>
          <w:p w14:paraId="0316B320">
            <w:pPr>
              <w:pStyle w:val="12"/>
              <w:spacing w:before="21"/>
              <w:ind w:left="7"/>
              <w:jc w:val="center"/>
              <w:rPr>
                <w:rFonts w:ascii="仿宋_GB2312" w:eastAsia="仿宋_GB2312"/>
                <w:color w:val="auto"/>
                <w:sz w:val="30"/>
              </w:rPr>
            </w:pPr>
            <w:r>
              <w:rPr>
                <w:rFonts w:hint="eastAsia" w:ascii="仿宋_GB2312" w:eastAsia="仿宋_GB2312"/>
                <w:color w:val="auto"/>
                <w:sz w:val="30"/>
              </w:rPr>
              <w:t>国家级</w:t>
            </w:r>
          </w:p>
        </w:tc>
        <w:tc>
          <w:tcPr>
            <w:tcW w:w="2160" w:type="dxa"/>
          </w:tcPr>
          <w:p w14:paraId="742F529C">
            <w:pPr>
              <w:pStyle w:val="12"/>
              <w:ind w:right="918"/>
              <w:rPr>
                <w:rFonts w:ascii="仿宋_GB2312" w:eastAsia="仿宋_GB2312"/>
                <w:color w:val="auto"/>
                <w:sz w:val="30"/>
              </w:rPr>
            </w:pPr>
            <w:r>
              <w:rPr>
                <w:rFonts w:hint="eastAsia" w:ascii="仿宋_GB2312" w:eastAsia="仿宋_GB2312"/>
                <w:color w:val="auto"/>
                <w:sz w:val="30"/>
              </w:rPr>
              <w:t>14</w:t>
            </w:r>
          </w:p>
        </w:tc>
        <w:tc>
          <w:tcPr>
            <w:tcW w:w="1620" w:type="dxa"/>
          </w:tcPr>
          <w:p w14:paraId="6AE58381">
            <w:pPr>
              <w:pStyle w:val="12"/>
              <w:ind w:right="646"/>
              <w:rPr>
                <w:rFonts w:ascii="仿宋_GB2312" w:eastAsia="仿宋_GB2312"/>
                <w:color w:val="auto"/>
                <w:sz w:val="30"/>
              </w:rPr>
            </w:pPr>
            <w:r>
              <w:rPr>
                <w:rFonts w:hint="eastAsia" w:ascii="仿宋_GB2312" w:eastAsia="仿宋_GB2312"/>
                <w:color w:val="auto"/>
                <w:sz w:val="30"/>
              </w:rPr>
              <w:t>12</w:t>
            </w:r>
          </w:p>
        </w:tc>
        <w:tc>
          <w:tcPr>
            <w:tcW w:w="1620" w:type="dxa"/>
          </w:tcPr>
          <w:p w14:paraId="447A69E8">
            <w:pPr>
              <w:pStyle w:val="12"/>
              <w:ind w:right="646"/>
              <w:rPr>
                <w:rFonts w:ascii="仿宋_GB2312" w:eastAsia="仿宋_GB2312"/>
                <w:color w:val="auto"/>
                <w:sz w:val="30"/>
              </w:rPr>
            </w:pPr>
            <w:r>
              <w:rPr>
                <w:rFonts w:hint="eastAsia" w:ascii="仿宋_GB2312" w:eastAsia="仿宋_GB2312"/>
                <w:color w:val="auto"/>
                <w:sz w:val="30"/>
              </w:rPr>
              <w:t>10</w:t>
            </w:r>
          </w:p>
        </w:tc>
        <w:tc>
          <w:tcPr>
            <w:tcW w:w="1620" w:type="dxa"/>
          </w:tcPr>
          <w:p w14:paraId="540C727F">
            <w:pPr>
              <w:pStyle w:val="12"/>
              <w:ind w:right="723"/>
              <w:rPr>
                <w:rFonts w:ascii="仿宋_GB2312" w:eastAsia="仿宋_GB2312"/>
                <w:color w:val="auto"/>
                <w:sz w:val="30"/>
              </w:rPr>
            </w:pPr>
            <w:r>
              <w:rPr>
                <w:rFonts w:hint="eastAsia" w:ascii="仿宋_GB2312" w:eastAsia="仿宋_GB2312"/>
                <w:color w:val="auto"/>
                <w:sz w:val="30"/>
              </w:rPr>
              <w:t>8</w:t>
            </w:r>
          </w:p>
        </w:tc>
      </w:tr>
      <w:tr w14:paraId="3854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52" w:type="dxa"/>
          </w:tcPr>
          <w:p w14:paraId="041F9A9A">
            <w:pPr>
              <w:pStyle w:val="12"/>
              <w:spacing w:before="20"/>
              <w:ind w:left="7"/>
              <w:jc w:val="center"/>
              <w:rPr>
                <w:rFonts w:ascii="仿宋_GB2312" w:eastAsia="仿宋_GB2312"/>
                <w:color w:val="auto"/>
                <w:sz w:val="30"/>
              </w:rPr>
            </w:pPr>
            <w:r>
              <w:rPr>
                <w:rFonts w:hint="eastAsia" w:ascii="仿宋_GB2312" w:eastAsia="仿宋_GB2312"/>
                <w:color w:val="auto"/>
                <w:sz w:val="30"/>
              </w:rPr>
              <w:t>省部级</w:t>
            </w:r>
          </w:p>
        </w:tc>
        <w:tc>
          <w:tcPr>
            <w:tcW w:w="2160" w:type="dxa"/>
          </w:tcPr>
          <w:p w14:paraId="76E55ECE">
            <w:pPr>
              <w:pStyle w:val="12"/>
              <w:spacing w:before="52"/>
              <w:ind w:right="918"/>
              <w:rPr>
                <w:rFonts w:ascii="仿宋_GB2312" w:eastAsia="仿宋_GB2312"/>
                <w:color w:val="auto"/>
                <w:sz w:val="30"/>
              </w:rPr>
            </w:pPr>
            <w:r>
              <w:rPr>
                <w:rFonts w:hint="eastAsia" w:ascii="仿宋_GB2312" w:eastAsia="仿宋_GB2312"/>
                <w:color w:val="auto"/>
                <w:sz w:val="30"/>
              </w:rPr>
              <w:t>10</w:t>
            </w:r>
          </w:p>
        </w:tc>
        <w:tc>
          <w:tcPr>
            <w:tcW w:w="1620" w:type="dxa"/>
          </w:tcPr>
          <w:p w14:paraId="53610C01">
            <w:pPr>
              <w:pStyle w:val="12"/>
              <w:spacing w:before="52"/>
              <w:ind w:right="723"/>
              <w:rPr>
                <w:rFonts w:ascii="仿宋_GB2312" w:eastAsia="仿宋_GB2312"/>
                <w:color w:val="auto"/>
                <w:sz w:val="30"/>
              </w:rPr>
            </w:pPr>
            <w:r>
              <w:rPr>
                <w:rFonts w:hint="eastAsia" w:ascii="仿宋_GB2312" w:eastAsia="仿宋_GB2312"/>
                <w:color w:val="auto"/>
                <w:sz w:val="30"/>
              </w:rPr>
              <w:t>8</w:t>
            </w:r>
          </w:p>
        </w:tc>
        <w:tc>
          <w:tcPr>
            <w:tcW w:w="1620" w:type="dxa"/>
          </w:tcPr>
          <w:p w14:paraId="10BE5ED8">
            <w:pPr>
              <w:pStyle w:val="12"/>
              <w:spacing w:before="52"/>
              <w:ind w:right="723"/>
              <w:rPr>
                <w:rFonts w:ascii="仿宋_GB2312" w:eastAsia="仿宋_GB2312"/>
                <w:color w:val="auto"/>
                <w:sz w:val="30"/>
              </w:rPr>
            </w:pPr>
            <w:r>
              <w:rPr>
                <w:rFonts w:hint="eastAsia" w:ascii="仿宋_GB2312" w:eastAsia="仿宋_GB2312"/>
                <w:color w:val="auto"/>
                <w:sz w:val="30"/>
              </w:rPr>
              <w:t>6</w:t>
            </w:r>
          </w:p>
        </w:tc>
        <w:tc>
          <w:tcPr>
            <w:tcW w:w="1620" w:type="dxa"/>
          </w:tcPr>
          <w:p w14:paraId="42E46E32">
            <w:pPr>
              <w:pStyle w:val="12"/>
              <w:spacing w:before="52"/>
              <w:ind w:right="723"/>
              <w:rPr>
                <w:rFonts w:ascii="仿宋_GB2312" w:eastAsia="仿宋_GB2312"/>
                <w:color w:val="auto"/>
                <w:sz w:val="30"/>
              </w:rPr>
            </w:pPr>
            <w:r>
              <w:rPr>
                <w:rFonts w:hint="eastAsia" w:ascii="仿宋_GB2312" w:eastAsia="仿宋_GB2312"/>
                <w:color w:val="auto"/>
                <w:sz w:val="30"/>
              </w:rPr>
              <w:t>5</w:t>
            </w:r>
          </w:p>
        </w:tc>
      </w:tr>
      <w:tr w14:paraId="2B0A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752" w:type="dxa"/>
          </w:tcPr>
          <w:p w14:paraId="3710C9FD">
            <w:pPr>
              <w:pStyle w:val="12"/>
              <w:tabs>
                <w:tab w:val="left" w:pos="607"/>
              </w:tabs>
              <w:spacing w:before="22"/>
              <w:ind w:left="7"/>
              <w:jc w:val="center"/>
              <w:rPr>
                <w:rFonts w:ascii="仿宋_GB2312" w:eastAsia="仿宋_GB2312"/>
                <w:color w:val="auto"/>
                <w:sz w:val="30"/>
              </w:rPr>
            </w:pPr>
            <w:r>
              <w:rPr>
                <w:rFonts w:hint="eastAsia" w:ascii="仿宋_GB2312" w:eastAsia="仿宋_GB2312"/>
                <w:color w:val="auto"/>
                <w:sz w:val="30"/>
              </w:rPr>
              <w:t>校</w:t>
            </w:r>
            <w:r>
              <w:rPr>
                <w:rFonts w:hint="eastAsia" w:ascii="仿宋_GB2312" w:eastAsia="仿宋_GB2312"/>
                <w:color w:val="auto"/>
                <w:sz w:val="30"/>
              </w:rPr>
              <w:tab/>
            </w:r>
            <w:r>
              <w:rPr>
                <w:rFonts w:hint="eastAsia" w:ascii="仿宋_GB2312" w:eastAsia="仿宋_GB2312"/>
                <w:color w:val="auto"/>
                <w:sz w:val="30"/>
              </w:rPr>
              <w:t>级</w:t>
            </w:r>
          </w:p>
        </w:tc>
        <w:tc>
          <w:tcPr>
            <w:tcW w:w="2160" w:type="dxa"/>
          </w:tcPr>
          <w:p w14:paraId="59AF3C79">
            <w:pPr>
              <w:pStyle w:val="12"/>
              <w:spacing w:before="54"/>
              <w:ind w:right="992"/>
              <w:rPr>
                <w:rFonts w:ascii="仿宋_GB2312" w:eastAsia="仿宋_GB2312"/>
                <w:color w:val="auto"/>
                <w:sz w:val="30"/>
              </w:rPr>
            </w:pPr>
            <w:r>
              <w:rPr>
                <w:rFonts w:hint="eastAsia" w:ascii="仿宋_GB2312" w:eastAsia="仿宋_GB2312"/>
                <w:color w:val="auto"/>
                <w:sz w:val="30"/>
              </w:rPr>
              <w:t>6</w:t>
            </w:r>
          </w:p>
        </w:tc>
        <w:tc>
          <w:tcPr>
            <w:tcW w:w="1620" w:type="dxa"/>
          </w:tcPr>
          <w:p w14:paraId="69B2FDB4">
            <w:pPr>
              <w:pStyle w:val="12"/>
              <w:spacing w:before="54"/>
              <w:ind w:right="723"/>
              <w:rPr>
                <w:rFonts w:ascii="仿宋_GB2312" w:eastAsia="仿宋_GB2312"/>
                <w:color w:val="auto"/>
                <w:sz w:val="30"/>
              </w:rPr>
            </w:pPr>
            <w:r>
              <w:rPr>
                <w:rFonts w:hint="eastAsia" w:ascii="仿宋_GB2312" w:eastAsia="仿宋_GB2312"/>
                <w:color w:val="auto"/>
                <w:sz w:val="30"/>
              </w:rPr>
              <w:t>4</w:t>
            </w:r>
          </w:p>
        </w:tc>
        <w:tc>
          <w:tcPr>
            <w:tcW w:w="1620" w:type="dxa"/>
          </w:tcPr>
          <w:p w14:paraId="503974A6">
            <w:pPr>
              <w:pStyle w:val="12"/>
              <w:spacing w:before="54"/>
              <w:ind w:right="723"/>
              <w:rPr>
                <w:rFonts w:ascii="仿宋_GB2312" w:eastAsia="仿宋_GB2312"/>
                <w:color w:val="auto"/>
                <w:sz w:val="30"/>
              </w:rPr>
            </w:pPr>
            <w:r>
              <w:rPr>
                <w:rFonts w:hint="eastAsia" w:ascii="仿宋_GB2312" w:eastAsia="仿宋_GB2312"/>
                <w:color w:val="auto"/>
                <w:sz w:val="30"/>
              </w:rPr>
              <w:t>3</w:t>
            </w:r>
          </w:p>
        </w:tc>
        <w:tc>
          <w:tcPr>
            <w:tcW w:w="1620" w:type="dxa"/>
          </w:tcPr>
          <w:p w14:paraId="6F057269">
            <w:pPr>
              <w:pStyle w:val="12"/>
              <w:spacing w:before="54"/>
              <w:ind w:right="723"/>
              <w:rPr>
                <w:rFonts w:ascii="仿宋_GB2312" w:eastAsia="仿宋_GB2312"/>
                <w:color w:val="auto"/>
                <w:sz w:val="30"/>
              </w:rPr>
            </w:pPr>
            <w:r>
              <w:rPr>
                <w:rFonts w:hint="eastAsia" w:ascii="仿宋_GB2312" w:eastAsia="仿宋_GB2312"/>
                <w:color w:val="auto"/>
                <w:sz w:val="30"/>
              </w:rPr>
              <w:t>2</w:t>
            </w:r>
          </w:p>
        </w:tc>
      </w:tr>
      <w:tr w14:paraId="2F43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752" w:type="dxa"/>
          </w:tcPr>
          <w:p w14:paraId="12A401FD">
            <w:pPr>
              <w:pStyle w:val="12"/>
              <w:tabs>
                <w:tab w:val="left" w:pos="607"/>
              </w:tabs>
              <w:spacing w:before="21"/>
              <w:ind w:left="7"/>
              <w:jc w:val="center"/>
              <w:rPr>
                <w:rFonts w:ascii="仿宋_GB2312" w:eastAsia="仿宋_GB2312"/>
                <w:color w:val="auto"/>
                <w:sz w:val="30"/>
              </w:rPr>
            </w:pPr>
            <w:r>
              <w:rPr>
                <w:rFonts w:hint="eastAsia" w:ascii="仿宋_GB2312" w:eastAsia="仿宋_GB2312"/>
                <w:color w:val="auto"/>
                <w:sz w:val="30"/>
              </w:rPr>
              <w:t>院</w:t>
            </w:r>
            <w:r>
              <w:rPr>
                <w:rFonts w:hint="eastAsia" w:ascii="仿宋_GB2312" w:eastAsia="仿宋_GB2312"/>
                <w:color w:val="auto"/>
                <w:sz w:val="30"/>
              </w:rPr>
              <w:tab/>
            </w:r>
            <w:r>
              <w:rPr>
                <w:rFonts w:hint="eastAsia" w:ascii="仿宋_GB2312" w:eastAsia="仿宋_GB2312"/>
                <w:color w:val="auto"/>
                <w:sz w:val="30"/>
              </w:rPr>
              <w:t>级</w:t>
            </w:r>
          </w:p>
        </w:tc>
        <w:tc>
          <w:tcPr>
            <w:tcW w:w="2160" w:type="dxa"/>
          </w:tcPr>
          <w:p w14:paraId="0F5F6019">
            <w:pPr>
              <w:pStyle w:val="12"/>
              <w:ind w:right="992"/>
              <w:rPr>
                <w:rFonts w:ascii="仿宋_GB2312" w:eastAsia="仿宋_GB2312"/>
                <w:color w:val="auto"/>
                <w:sz w:val="30"/>
              </w:rPr>
            </w:pPr>
            <w:r>
              <w:rPr>
                <w:rFonts w:hint="eastAsia" w:ascii="仿宋_GB2312" w:eastAsia="仿宋_GB2312"/>
                <w:color w:val="auto"/>
                <w:sz w:val="30"/>
              </w:rPr>
              <w:t>4</w:t>
            </w:r>
          </w:p>
        </w:tc>
        <w:tc>
          <w:tcPr>
            <w:tcW w:w="1620" w:type="dxa"/>
          </w:tcPr>
          <w:p w14:paraId="35909C0F">
            <w:pPr>
              <w:pStyle w:val="12"/>
              <w:ind w:right="723"/>
              <w:rPr>
                <w:rFonts w:ascii="仿宋_GB2312" w:eastAsia="仿宋_GB2312"/>
                <w:color w:val="auto"/>
                <w:sz w:val="30"/>
              </w:rPr>
            </w:pPr>
            <w:r>
              <w:rPr>
                <w:rFonts w:hint="eastAsia" w:ascii="仿宋_GB2312" w:eastAsia="仿宋_GB2312"/>
                <w:color w:val="auto"/>
                <w:sz w:val="30"/>
              </w:rPr>
              <w:t>3</w:t>
            </w:r>
          </w:p>
        </w:tc>
        <w:tc>
          <w:tcPr>
            <w:tcW w:w="1620" w:type="dxa"/>
          </w:tcPr>
          <w:p w14:paraId="4388B5EB">
            <w:pPr>
              <w:pStyle w:val="12"/>
              <w:ind w:right="723"/>
              <w:rPr>
                <w:rFonts w:ascii="仿宋_GB2312" w:eastAsia="仿宋_GB2312"/>
                <w:color w:val="auto"/>
                <w:sz w:val="30"/>
              </w:rPr>
            </w:pPr>
            <w:r>
              <w:rPr>
                <w:rFonts w:hint="eastAsia" w:ascii="仿宋_GB2312" w:eastAsia="仿宋_GB2312"/>
                <w:color w:val="auto"/>
                <w:sz w:val="30"/>
              </w:rPr>
              <w:t>2</w:t>
            </w:r>
          </w:p>
        </w:tc>
        <w:tc>
          <w:tcPr>
            <w:tcW w:w="1620" w:type="dxa"/>
          </w:tcPr>
          <w:p w14:paraId="0FE50C15">
            <w:pPr>
              <w:pStyle w:val="12"/>
              <w:ind w:right="723"/>
              <w:rPr>
                <w:rFonts w:ascii="仿宋_GB2312" w:eastAsia="仿宋_GB2312"/>
                <w:color w:val="auto"/>
                <w:sz w:val="30"/>
              </w:rPr>
            </w:pPr>
            <w:r>
              <w:rPr>
                <w:rFonts w:hint="eastAsia" w:ascii="仿宋_GB2312" w:eastAsia="仿宋_GB2312"/>
                <w:color w:val="auto"/>
                <w:sz w:val="30"/>
              </w:rPr>
              <w:t>1</w:t>
            </w:r>
          </w:p>
        </w:tc>
      </w:tr>
    </w:tbl>
    <w:p w14:paraId="5248B0C7">
      <w:pPr>
        <w:ind w:firstLine="600" w:firstLineChars="200"/>
        <w:rPr>
          <w:rFonts w:ascii="仿宋_GB2312" w:eastAsia="仿宋_GB2312"/>
          <w:color w:val="auto"/>
          <w:sz w:val="30"/>
          <w:szCs w:val="30"/>
        </w:rPr>
      </w:pPr>
      <w:r>
        <w:rPr>
          <w:rFonts w:hint="eastAsia" w:ascii="仿宋_GB2312" w:eastAsia="仿宋_GB2312"/>
          <w:color w:val="auto"/>
          <w:sz w:val="30"/>
          <w:szCs w:val="30"/>
        </w:rPr>
        <w:t>备注：以上为个人加分标准，团体加分标准应低于个人加分标准。获奖等级按名次设定，即第 1、2 名以一等奖计；第 3 至 5 名按二等奖计；第 6 至 8 名按三等奖计。参加同一活动不同级别的活动获奖者，以最高分计，不重复计分。</w:t>
      </w:r>
    </w:p>
    <w:p w14:paraId="1EAC0915">
      <w:pPr>
        <w:ind w:firstLine="600" w:firstLineChars="200"/>
        <w:rPr>
          <w:rFonts w:ascii="仿宋_GB2312" w:eastAsia="仿宋_GB2312"/>
          <w:color w:val="auto"/>
          <w:sz w:val="30"/>
          <w:szCs w:val="30"/>
        </w:rPr>
      </w:pPr>
      <w:r>
        <w:rPr>
          <w:rFonts w:hint="eastAsia" w:ascii="仿宋_GB2312" w:eastAsia="仿宋_GB2312"/>
          <w:color w:val="auto"/>
          <w:sz w:val="30"/>
          <w:szCs w:val="30"/>
        </w:rPr>
        <w:t>③作为科研课题组主要成员参加科研活动并获得科研成果，按如下标准加分：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1"/>
        <w:gridCol w:w="2050"/>
        <w:gridCol w:w="2260"/>
        <w:gridCol w:w="2481"/>
      </w:tblGrid>
      <w:tr w14:paraId="0619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941" w:type="dxa"/>
          </w:tcPr>
          <w:p w14:paraId="1D99EF51">
            <w:pPr>
              <w:pStyle w:val="12"/>
              <w:spacing w:before="21"/>
              <w:ind w:left="648" w:right="642"/>
              <w:jc w:val="center"/>
              <w:rPr>
                <w:rFonts w:ascii="仿宋_GB2312" w:eastAsia="仿宋_GB2312"/>
                <w:color w:val="auto"/>
                <w:sz w:val="30"/>
              </w:rPr>
            </w:pPr>
            <w:r>
              <w:rPr>
                <w:rFonts w:hint="eastAsia" w:ascii="仿宋_GB2312" w:eastAsia="仿宋_GB2312"/>
                <w:color w:val="auto"/>
                <w:sz w:val="30"/>
              </w:rPr>
              <w:t>等级</w:t>
            </w:r>
          </w:p>
        </w:tc>
        <w:tc>
          <w:tcPr>
            <w:tcW w:w="2050" w:type="dxa"/>
          </w:tcPr>
          <w:p w14:paraId="12CA1319">
            <w:pPr>
              <w:pStyle w:val="12"/>
              <w:spacing w:before="21"/>
              <w:ind w:left="555" w:right="544"/>
              <w:jc w:val="center"/>
              <w:rPr>
                <w:rFonts w:ascii="仿宋_GB2312" w:eastAsia="仿宋_GB2312"/>
                <w:color w:val="auto"/>
                <w:sz w:val="30"/>
              </w:rPr>
            </w:pPr>
            <w:r>
              <w:rPr>
                <w:rFonts w:hint="eastAsia" w:ascii="仿宋_GB2312" w:eastAsia="仿宋_GB2312"/>
                <w:color w:val="auto"/>
                <w:sz w:val="30"/>
              </w:rPr>
              <w:t>国家级</w:t>
            </w:r>
          </w:p>
        </w:tc>
        <w:tc>
          <w:tcPr>
            <w:tcW w:w="2260" w:type="dxa"/>
          </w:tcPr>
          <w:p w14:paraId="5D4922F4">
            <w:pPr>
              <w:pStyle w:val="12"/>
              <w:spacing w:before="21"/>
              <w:ind w:left="658" w:right="651"/>
              <w:jc w:val="center"/>
              <w:rPr>
                <w:rFonts w:ascii="仿宋_GB2312" w:eastAsia="仿宋_GB2312"/>
                <w:color w:val="auto"/>
                <w:sz w:val="30"/>
              </w:rPr>
            </w:pPr>
            <w:r>
              <w:rPr>
                <w:rFonts w:hint="eastAsia" w:ascii="仿宋_GB2312" w:eastAsia="仿宋_GB2312"/>
                <w:color w:val="auto"/>
                <w:sz w:val="30"/>
              </w:rPr>
              <w:t>省部级</w:t>
            </w:r>
          </w:p>
        </w:tc>
        <w:tc>
          <w:tcPr>
            <w:tcW w:w="2481" w:type="dxa"/>
          </w:tcPr>
          <w:p w14:paraId="08532D19">
            <w:pPr>
              <w:pStyle w:val="12"/>
              <w:spacing w:before="21"/>
              <w:ind w:right="779"/>
              <w:rPr>
                <w:rFonts w:ascii="仿宋_GB2312" w:eastAsia="仿宋_GB2312"/>
                <w:color w:val="auto"/>
                <w:sz w:val="30"/>
              </w:rPr>
            </w:pPr>
            <w:r>
              <w:rPr>
                <w:rFonts w:hint="eastAsia" w:ascii="仿宋_GB2312" w:eastAsia="仿宋_GB2312"/>
                <w:color w:val="auto"/>
                <w:sz w:val="30"/>
              </w:rPr>
              <w:t>市校级</w:t>
            </w:r>
          </w:p>
        </w:tc>
      </w:tr>
      <w:tr w14:paraId="255E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941" w:type="dxa"/>
          </w:tcPr>
          <w:p w14:paraId="7583F48B">
            <w:pPr>
              <w:pStyle w:val="12"/>
              <w:spacing w:before="20"/>
              <w:ind w:left="648" w:right="642"/>
              <w:jc w:val="center"/>
              <w:rPr>
                <w:rFonts w:ascii="仿宋_GB2312" w:eastAsia="仿宋_GB2312"/>
                <w:color w:val="auto"/>
                <w:sz w:val="30"/>
              </w:rPr>
            </w:pPr>
            <w:r>
              <w:rPr>
                <w:rFonts w:hint="eastAsia" w:ascii="仿宋_GB2312" w:eastAsia="仿宋_GB2312"/>
                <w:color w:val="auto"/>
                <w:sz w:val="30"/>
              </w:rPr>
              <w:t>分值</w:t>
            </w:r>
          </w:p>
        </w:tc>
        <w:tc>
          <w:tcPr>
            <w:tcW w:w="2050" w:type="dxa"/>
          </w:tcPr>
          <w:p w14:paraId="77750AEA">
            <w:pPr>
              <w:pStyle w:val="12"/>
              <w:spacing w:before="52"/>
              <w:ind w:left="555" w:right="543"/>
              <w:jc w:val="center"/>
              <w:rPr>
                <w:rFonts w:ascii="仿宋_GB2312" w:eastAsia="仿宋_GB2312"/>
                <w:color w:val="auto"/>
                <w:sz w:val="30"/>
              </w:rPr>
            </w:pPr>
            <w:r>
              <w:rPr>
                <w:rFonts w:hint="eastAsia" w:ascii="仿宋_GB2312" w:eastAsia="仿宋_GB2312"/>
                <w:color w:val="auto"/>
                <w:sz w:val="30"/>
              </w:rPr>
              <w:t>10</w:t>
            </w:r>
          </w:p>
        </w:tc>
        <w:tc>
          <w:tcPr>
            <w:tcW w:w="2260" w:type="dxa"/>
          </w:tcPr>
          <w:p w14:paraId="5248B61E">
            <w:pPr>
              <w:pStyle w:val="12"/>
              <w:spacing w:before="52"/>
              <w:ind w:left="10"/>
              <w:jc w:val="center"/>
              <w:rPr>
                <w:rFonts w:ascii="仿宋_GB2312" w:eastAsia="仿宋_GB2312"/>
                <w:color w:val="auto"/>
                <w:sz w:val="30"/>
              </w:rPr>
            </w:pPr>
            <w:r>
              <w:rPr>
                <w:rFonts w:hint="eastAsia" w:ascii="仿宋_GB2312" w:eastAsia="仿宋_GB2312"/>
                <w:color w:val="auto"/>
                <w:sz w:val="30"/>
              </w:rPr>
              <w:t>6</w:t>
            </w:r>
          </w:p>
        </w:tc>
        <w:tc>
          <w:tcPr>
            <w:tcW w:w="2481" w:type="dxa"/>
          </w:tcPr>
          <w:p w14:paraId="6707662C">
            <w:pPr>
              <w:pStyle w:val="12"/>
              <w:spacing w:before="52"/>
              <w:ind w:right="854"/>
              <w:rPr>
                <w:rFonts w:ascii="仿宋_GB2312" w:eastAsia="仿宋_GB2312"/>
                <w:color w:val="auto"/>
                <w:sz w:val="30"/>
              </w:rPr>
            </w:pPr>
            <w:r>
              <w:rPr>
                <w:rFonts w:hint="eastAsia" w:ascii="仿宋_GB2312" w:eastAsia="仿宋_GB2312"/>
                <w:color w:val="auto"/>
                <w:sz w:val="30"/>
              </w:rPr>
              <w:t>3</w:t>
            </w:r>
          </w:p>
        </w:tc>
      </w:tr>
    </w:tbl>
    <w:p w14:paraId="1E1C352C">
      <w:pPr>
        <w:ind w:firstLine="600" w:firstLineChars="200"/>
        <w:rPr>
          <w:rFonts w:ascii="仿宋_GB2312" w:eastAsia="仿宋_GB2312"/>
          <w:color w:val="auto"/>
          <w:sz w:val="30"/>
          <w:szCs w:val="30"/>
        </w:rPr>
      </w:pPr>
      <w:r>
        <w:rPr>
          <w:rFonts w:hint="eastAsia" w:ascii="仿宋_GB2312" w:eastAsia="仿宋_GB2312"/>
          <w:color w:val="auto"/>
          <w:sz w:val="30"/>
          <w:szCs w:val="30"/>
        </w:rPr>
        <w:t>备注：同一课题多级立项，以最高分计。</w:t>
      </w:r>
    </w:p>
    <w:p w14:paraId="2E1EE990">
      <w:pPr>
        <w:ind w:firstLine="600" w:firstLineChars="200"/>
        <w:rPr>
          <w:rFonts w:ascii="仿宋_GB2312" w:eastAsia="仿宋_GB2312"/>
          <w:color w:val="auto"/>
          <w:sz w:val="30"/>
          <w:szCs w:val="30"/>
        </w:rPr>
      </w:pPr>
      <w:r>
        <w:rPr>
          <w:rFonts w:hint="eastAsia" w:ascii="仿宋_GB2312" w:eastAsia="仿宋_GB2312"/>
          <w:color w:val="auto"/>
          <w:sz w:val="30"/>
          <w:szCs w:val="30"/>
        </w:rPr>
        <w:t>④授予专利可申请加分，分值为 10 分。</w:t>
      </w:r>
    </w:p>
    <w:p w14:paraId="130F9C1A">
      <w:pPr>
        <w:ind w:firstLine="600" w:firstLineChars="200"/>
        <w:rPr>
          <w:rFonts w:ascii="仿宋_GB2312" w:eastAsia="仿宋_GB2312"/>
          <w:color w:val="auto"/>
          <w:sz w:val="30"/>
          <w:szCs w:val="30"/>
        </w:rPr>
      </w:pPr>
      <w:r>
        <w:rPr>
          <w:rFonts w:hint="eastAsia" w:ascii="仿宋_GB2312" w:eastAsia="仿宋_GB2312"/>
          <w:color w:val="auto"/>
          <w:sz w:val="30"/>
          <w:szCs w:val="30"/>
        </w:rPr>
        <w:t>⑤新闻稿被校园网录用，按 2 分/篇标准加分，两个作者的每人 1 分/篇。新闻稿被学院网站录用，按 1 分/篇标准加分，两个作者的每人 0.5 分/篇。</w:t>
      </w:r>
    </w:p>
    <w:p w14:paraId="20937031">
      <w:pPr>
        <w:rPr>
          <w:rFonts w:ascii="仿宋_GB2312" w:eastAsia="仿宋_GB2312"/>
          <w:color w:val="auto"/>
          <w:sz w:val="30"/>
          <w:szCs w:val="30"/>
        </w:rPr>
      </w:pPr>
      <w:r>
        <w:rPr>
          <w:rFonts w:hint="eastAsia" w:ascii="仿宋_GB2312" w:eastAsia="仿宋_GB2312"/>
          <w:color w:val="auto"/>
          <w:sz w:val="30"/>
          <w:szCs w:val="30"/>
        </w:rPr>
        <w:t xml:space="preserve">    ⑥参加各类学术报告会（须经辅导员和相关老师认定），1次加0.5分。</w:t>
      </w:r>
    </w:p>
    <w:p w14:paraId="47515AB2">
      <w:pPr>
        <w:ind w:firstLine="600" w:firstLineChars="200"/>
        <w:rPr>
          <w:rFonts w:ascii="仿宋_GB2312" w:eastAsia="仿宋_GB2312"/>
          <w:color w:val="auto"/>
          <w:sz w:val="30"/>
          <w:szCs w:val="30"/>
        </w:rPr>
      </w:pPr>
      <w:r>
        <w:rPr>
          <w:rFonts w:hint="eastAsia" w:ascii="仿宋_GB2312" w:eastAsia="仿宋_GB2312"/>
          <w:color w:val="auto"/>
          <w:sz w:val="30"/>
          <w:szCs w:val="30"/>
        </w:rPr>
        <w:t>备注：以上活动原则上均应由政府及党团组织作为主办方，各项内容均不重复计分。</w:t>
      </w:r>
    </w:p>
    <w:p w14:paraId="0E9CFC17">
      <w:pPr>
        <w:ind w:firstLine="600" w:firstLineChars="200"/>
        <w:rPr>
          <w:rFonts w:ascii="仿宋_GB2312" w:eastAsia="仿宋_GB2312"/>
          <w:color w:val="auto"/>
          <w:sz w:val="30"/>
          <w:szCs w:val="30"/>
        </w:rPr>
      </w:pPr>
      <w:r>
        <w:rPr>
          <w:rFonts w:hint="eastAsia" w:ascii="仿宋_GB2312" w:eastAsia="仿宋_GB2312"/>
          <w:color w:val="auto"/>
          <w:sz w:val="30"/>
          <w:szCs w:val="30"/>
        </w:rPr>
        <w:t>（</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）其他加分项</w:t>
      </w:r>
    </w:p>
    <w:p w14:paraId="5661257C">
      <w:pPr>
        <w:ind w:firstLine="600" w:firstLineChars="200"/>
        <w:rPr>
          <w:rFonts w:ascii="仿宋_GB2312" w:eastAsia="仿宋_GB2312"/>
          <w:color w:val="auto"/>
          <w:sz w:val="30"/>
          <w:szCs w:val="30"/>
        </w:rPr>
      </w:pPr>
      <w:r>
        <w:rPr>
          <w:rFonts w:hint="eastAsia" w:ascii="仿宋_GB2312" w:eastAsia="仿宋_GB2312"/>
          <w:color w:val="auto"/>
          <w:sz w:val="30"/>
          <w:szCs w:val="30"/>
        </w:rPr>
        <w:t>①通过普通话测试二乙及以上的，加 0.5 分；通过国家英语四级考试，加 3 分；通过计算机国家二级考试，合格加 2 分，优秀加 3 分；通过计算机国家三级考试，合格加 4 分，优秀加 5 分；其他计算机类能力认证考试， 依据其考试难度，参照计算机等级考试酌情加分。</w:t>
      </w:r>
    </w:p>
    <w:p w14:paraId="32EC9920">
      <w:pPr>
        <w:ind w:firstLine="450" w:firstLineChars="150"/>
        <w:rPr>
          <w:rFonts w:ascii="仿宋_GB2312" w:eastAsia="仿宋_GB2312"/>
          <w:color w:val="auto"/>
          <w:sz w:val="30"/>
          <w:szCs w:val="30"/>
        </w:rPr>
      </w:pPr>
      <w:r>
        <w:rPr>
          <w:rFonts w:hint="eastAsia" w:ascii="仿宋_GB2312" w:eastAsia="仿宋_GB2312"/>
          <w:color w:val="auto"/>
          <w:sz w:val="30"/>
          <w:szCs w:val="30"/>
        </w:rPr>
        <w:t>②各类资格证如“会计师”等，通过者加 3 分。</w:t>
      </w:r>
    </w:p>
    <w:p w14:paraId="4B7A2188">
      <w:pPr>
        <w:ind w:firstLine="600" w:firstLineChars="200"/>
        <w:rPr>
          <w:rFonts w:ascii="仿宋_GB2312" w:eastAsia="仿宋_GB2312"/>
          <w:color w:val="auto"/>
          <w:sz w:val="30"/>
          <w:szCs w:val="30"/>
        </w:rPr>
      </w:pPr>
      <w:r>
        <w:rPr>
          <w:rFonts w:hint="eastAsia" w:ascii="仿宋_GB2312" w:eastAsia="仿宋_GB2312"/>
          <w:color w:val="auto"/>
          <w:sz w:val="30"/>
          <w:szCs w:val="30"/>
        </w:rPr>
        <w:t>③在“三下乡”、军训、志愿服务、公益活动等各类活动中获得“积极分子”或“先进个人”称号，每次按如下标准加分：</w:t>
      </w:r>
    </w:p>
    <w:p w14:paraId="40394C14">
      <w:pPr>
        <w:ind w:firstLine="600" w:firstLineChars="200"/>
        <w:rPr>
          <w:rFonts w:ascii="仿宋_GB2312" w:eastAsia="仿宋_GB2312"/>
          <w:color w:val="auto"/>
          <w:sz w:val="30"/>
          <w:szCs w:val="30"/>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1854"/>
        <w:gridCol w:w="1926"/>
        <w:gridCol w:w="1620"/>
        <w:gridCol w:w="1620"/>
      </w:tblGrid>
      <w:tr w14:paraId="5BCD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60" w:type="dxa"/>
          </w:tcPr>
          <w:p w14:paraId="359F3E7F">
            <w:pPr>
              <w:pStyle w:val="12"/>
              <w:spacing w:before="22"/>
              <w:ind w:left="9"/>
              <w:jc w:val="center"/>
              <w:rPr>
                <w:rFonts w:ascii="仿宋_GB2312" w:eastAsia="仿宋_GB2312"/>
                <w:color w:val="auto"/>
                <w:sz w:val="30"/>
              </w:rPr>
            </w:pPr>
            <w:r>
              <w:rPr>
                <w:rFonts w:hint="eastAsia" w:ascii="仿宋_GB2312" w:eastAsia="仿宋_GB2312"/>
                <w:color w:val="auto"/>
                <w:sz w:val="30"/>
              </w:rPr>
              <w:t>等级</w:t>
            </w:r>
          </w:p>
        </w:tc>
        <w:tc>
          <w:tcPr>
            <w:tcW w:w="1854" w:type="dxa"/>
          </w:tcPr>
          <w:p w14:paraId="2A483553">
            <w:pPr>
              <w:pStyle w:val="12"/>
              <w:spacing w:before="22"/>
              <w:ind w:right="465"/>
              <w:rPr>
                <w:rFonts w:ascii="仿宋_GB2312" w:eastAsia="仿宋_GB2312"/>
                <w:color w:val="auto"/>
                <w:sz w:val="30"/>
              </w:rPr>
            </w:pPr>
            <w:r>
              <w:rPr>
                <w:rFonts w:hint="eastAsia" w:ascii="仿宋_GB2312" w:eastAsia="仿宋_GB2312"/>
                <w:color w:val="auto"/>
                <w:sz w:val="30"/>
              </w:rPr>
              <w:t>国家级</w:t>
            </w:r>
          </w:p>
        </w:tc>
        <w:tc>
          <w:tcPr>
            <w:tcW w:w="1926" w:type="dxa"/>
          </w:tcPr>
          <w:p w14:paraId="02E8FCDA">
            <w:pPr>
              <w:pStyle w:val="12"/>
              <w:spacing w:before="22"/>
              <w:ind w:right="500"/>
              <w:rPr>
                <w:rFonts w:ascii="仿宋_GB2312" w:eastAsia="仿宋_GB2312"/>
                <w:color w:val="auto"/>
                <w:sz w:val="30"/>
              </w:rPr>
            </w:pPr>
            <w:r>
              <w:rPr>
                <w:rFonts w:hint="eastAsia" w:ascii="仿宋_GB2312" w:eastAsia="仿宋_GB2312"/>
                <w:color w:val="auto"/>
                <w:sz w:val="30"/>
              </w:rPr>
              <w:t>省部级</w:t>
            </w:r>
          </w:p>
        </w:tc>
        <w:tc>
          <w:tcPr>
            <w:tcW w:w="1620" w:type="dxa"/>
          </w:tcPr>
          <w:p w14:paraId="2E320B8C">
            <w:pPr>
              <w:pStyle w:val="12"/>
              <w:tabs>
                <w:tab w:val="left" w:pos="599"/>
              </w:tabs>
              <w:spacing w:before="22"/>
              <w:ind w:right="349"/>
              <w:rPr>
                <w:rFonts w:ascii="仿宋_GB2312" w:eastAsia="仿宋_GB2312"/>
                <w:color w:val="auto"/>
                <w:sz w:val="30"/>
              </w:rPr>
            </w:pPr>
            <w:r>
              <w:rPr>
                <w:rFonts w:hint="eastAsia" w:ascii="仿宋_GB2312" w:eastAsia="仿宋_GB2312"/>
                <w:color w:val="auto"/>
                <w:sz w:val="30"/>
              </w:rPr>
              <w:t>校</w:t>
            </w:r>
            <w:r>
              <w:rPr>
                <w:rFonts w:hint="eastAsia" w:ascii="仿宋_GB2312" w:eastAsia="仿宋_GB2312"/>
                <w:color w:val="auto"/>
                <w:sz w:val="30"/>
              </w:rPr>
              <w:tab/>
            </w:r>
            <w:r>
              <w:rPr>
                <w:rFonts w:hint="eastAsia" w:ascii="仿宋_GB2312" w:eastAsia="仿宋_GB2312"/>
                <w:color w:val="auto"/>
                <w:sz w:val="30"/>
              </w:rPr>
              <w:t>级</w:t>
            </w:r>
          </w:p>
        </w:tc>
        <w:tc>
          <w:tcPr>
            <w:tcW w:w="1620" w:type="dxa"/>
          </w:tcPr>
          <w:p w14:paraId="74DAAF5A">
            <w:pPr>
              <w:pStyle w:val="12"/>
              <w:tabs>
                <w:tab w:val="left" w:pos="599"/>
              </w:tabs>
              <w:spacing w:before="22"/>
              <w:ind w:right="349"/>
              <w:rPr>
                <w:rFonts w:ascii="仿宋_GB2312" w:eastAsia="仿宋_GB2312"/>
                <w:color w:val="auto"/>
                <w:sz w:val="30"/>
              </w:rPr>
            </w:pPr>
            <w:r>
              <w:rPr>
                <w:rFonts w:hint="eastAsia" w:ascii="仿宋_GB2312" w:eastAsia="仿宋_GB2312"/>
                <w:color w:val="auto"/>
                <w:sz w:val="30"/>
              </w:rPr>
              <w:t>院</w:t>
            </w:r>
            <w:r>
              <w:rPr>
                <w:rFonts w:hint="eastAsia" w:ascii="仿宋_GB2312" w:eastAsia="仿宋_GB2312"/>
                <w:color w:val="auto"/>
                <w:sz w:val="30"/>
              </w:rPr>
              <w:tab/>
            </w:r>
            <w:r>
              <w:rPr>
                <w:rFonts w:hint="eastAsia" w:ascii="仿宋_GB2312" w:eastAsia="仿宋_GB2312"/>
                <w:color w:val="auto"/>
                <w:sz w:val="30"/>
              </w:rPr>
              <w:t>级</w:t>
            </w:r>
          </w:p>
        </w:tc>
      </w:tr>
      <w:tr w14:paraId="7CF5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260" w:type="dxa"/>
          </w:tcPr>
          <w:p w14:paraId="721BA03E">
            <w:pPr>
              <w:pStyle w:val="12"/>
              <w:spacing w:before="21"/>
              <w:ind w:left="9"/>
              <w:jc w:val="center"/>
              <w:rPr>
                <w:rFonts w:ascii="仿宋_GB2312" w:eastAsia="仿宋_GB2312"/>
                <w:color w:val="auto"/>
                <w:sz w:val="30"/>
              </w:rPr>
            </w:pPr>
            <w:r>
              <w:rPr>
                <w:rFonts w:hint="eastAsia" w:ascii="仿宋_GB2312" w:eastAsia="仿宋_GB2312"/>
                <w:color w:val="auto"/>
                <w:sz w:val="30"/>
              </w:rPr>
              <w:t>分值</w:t>
            </w:r>
          </w:p>
        </w:tc>
        <w:tc>
          <w:tcPr>
            <w:tcW w:w="1854" w:type="dxa"/>
          </w:tcPr>
          <w:p w14:paraId="05FCCCBA">
            <w:pPr>
              <w:pStyle w:val="12"/>
              <w:ind w:right="464"/>
              <w:rPr>
                <w:rFonts w:ascii="仿宋_GB2312" w:eastAsia="仿宋_GB2312"/>
                <w:color w:val="auto"/>
                <w:sz w:val="30"/>
              </w:rPr>
            </w:pPr>
            <w:r>
              <w:rPr>
                <w:rFonts w:hint="eastAsia" w:ascii="仿宋_GB2312" w:eastAsia="仿宋_GB2312"/>
                <w:color w:val="auto"/>
                <w:sz w:val="30"/>
              </w:rPr>
              <w:t>15</w:t>
            </w:r>
          </w:p>
        </w:tc>
        <w:tc>
          <w:tcPr>
            <w:tcW w:w="1926" w:type="dxa"/>
          </w:tcPr>
          <w:p w14:paraId="6EEA8B5D">
            <w:pPr>
              <w:pStyle w:val="12"/>
              <w:ind w:right="499"/>
              <w:rPr>
                <w:rFonts w:ascii="仿宋_GB2312" w:eastAsia="仿宋_GB2312"/>
                <w:color w:val="auto"/>
                <w:sz w:val="30"/>
              </w:rPr>
            </w:pPr>
            <w:r>
              <w:rPr>
                <w:rFonts w:hint="eastAsia" w:ascii="仿宋_GB2312" w:eastAsia="仿宋_GB2312"/>
                <w:color w:val="auto"/>
                <w:sz w:val="30"/>
              </w:rPr>
              <w:t>10</w:t>
            </w:r>
          </w:p>
        </w:tc>
        <w:tc>
          <w:tcPr>
            <w:tcW w:w="1620" w:type="dxa"/>
          </w:tcPr>
          <w:p w14:paraId="17B813F2">
            <w:pPr>
              <w:pStyle w:val="12"/>
              <w:ind w:right="422"/>
              <w:rPr>
                <w:rFonts w:ascii="仿宋_GB2312" w:eastAsia="仿宋_GB2312"/>
                <w:color w:val="auto"/>
                <w:sz w:val="30"/>
              </w:rPr>
            </w:pPr>
            <w:r>
              <w:rPr>
                <w:rFonts w:hint="eastAsia" w:ascii="仿宋_GB2312" w:eastAsia="仿宋_GB2312"/>
                <w:color w:val="auto"/>
                <w:sz w:val="30"/>
              </w:rPr>
              <w:t>5</w:t>
            </w:r>
          </w:p>
        </w:tc>
        <w:tc>
          <w:tcPr>
            <w:tcW w:w="1620" w:type="dxa"/>
          </w:tcPr>
          <w:p w14:paraId="4A72E457">
            <w:pPr>
              <w:pStyle w:val="12"/>
              <w:ind w:right="422"/>
              <w:rPr>
                <w:rFonts w:ascii="仿宋_GB2312" w:eastAsia="仿宋_GB2312"/>
                <w:color w:val="auto"/>
                <w:sz w:val="30"/>
              </w:rPr>
            </w:pPr>
            <w:r>
              <w:rPr>
                <w:rFonts w:hint="eastAsia" w:ascii="仿宋_GB2312" w:eastAsia="仿宋_GB2312"/>
                <w:color w:val="auto"/>
                <w:sz w:val="30"/>
              </w:rPr>
              <w:t>3</w:t>
            </w:r>
          </w:p>
        </w:tc>
      </w:tr>
    </w:tbl>
    <w:p w14:paraId="0A176263">
      <w:pPr>
        <w:ind w:firstLine="600" w:firstLineChars="200"/>
        <w:rPr>
          <w:rFonts w:ascii="仿宋_GB2312" w:eastAsia="仿宋_GB2312"/>
          <w:color w:val="auto"/>
          <w:sz w:val="30"/>
          <w:szCs w:val="30"/>
        </w:rPr>
      </w:pPr>
      <w:r>
        <w:rPr>
          <w:rFonts w:hint="eastAsia" w:ascii="仿宋_GB2312" w:eastAsia="仿宋_GB2312"/>
          <w:color w:val="auto"/>
          <w:sz w:val="30"/>
          <w:szCs w:val="30"/>
        </w:rPr>
        <w:t>备注：暑期社会实践调研项目须形成调研报告交学院团委，如果在综合测评实施之前，学校评审结果已经公布，在学校获奖的算校级，没获奖的算院级；如果评审结果未揭晓，上报学校的都算校级；军训获奖情况以学校正式表彰文件为准；志愿服务及公益活动应以学院或者学校统一组织的为准，并应提供相应证明材料。</w:t>
      </w:r>
    </w:p>
    <w:p w14:paraId="5C4D29E3">
      <w:pPr>
        <w:ind w:firstLine="600" w:firstLineChars="200"/>
        <w:rPr>
          <w:rFonts w:ascii="仿宋_GB2312" w:eastAsia="仿宋_GB2312"/>
          <w:color w:val="auto"/>
          <w:sz w:val="30"/>
          <w:szCs w:val="30"/>
        </w:rPr>
      </w:pPr>
      <w:r>
        <w:rPr>
          <w:rFonts w:hint="eastAsia" w:ascii="仿宋_GB2312" w:eastAsia="仿宋_GB2312"/>
          <w:color w:val="auto"/>
          <w:sz w:val="30"/>
          <w:szCs w:val="30"/>
        </w:rPr>
        <w:t>④学习成绩有显著提高，智育班级排名每提高 5 名，加1分。</w:t>
      </w:r>
    </w:p>
    <w:p w14:paraId="2650CAD4">
      <w:pPr>
        <w:jc w:val="center"/>
        <w:rPr>
          <w:rFonts w:ascii="黑体" w:hAnsi="黑体" w:eastAsia="黑体"/>
          <w:b/>
          <w:color w:val="auto"/>
          <w:sz w:val="30"/>
          <w:szCs w:val="30"/>
        </w:rPr>
      </w:pPr>
      <w:r>
        <w:rPr>
          <w:rFonts w:hint="eastAsia" w:ascii="黑体" w:hAnsi="黑体" w:eastAsia="黑体"/>
          <w:b/>
          <w:color w:val="auto"/>
          <w:sz w:val="30"/>
          <w:szCs w:val="30"/>
        </w:rPr>
        <w:t>第三章</w:t>
      </w:r>
      <w:r>
        <w:rPr>
          <w:rFonts w:hint="eastAsia" w:ascii="黑体" w:hAnsi="黑体" w:eastAsia="黑体"/>
          <w:b/>
          <w:color w:val="auto"/>
          <w:sz w:val="30"/>
          <w:szCs w:val="30"/>
        </w:rPr>
        <w:tab/>
      </w:r>
      <w:r>
        <w:rPr>
          <w:rFonts w:hint="eastAsia" w:ascii="黑体" w:hAnsi="黑体" w:eastAsia="黑体"/>
          <w:b/>
          <w:color w:val="auto"/>
          <w:sz w:val="30"/>
          <w:szCs w:val="30"/>
        </w:rPr>
        <w:t>综合测评的实施</w:t>
      </w:r>
    </w:p>
    <w:p w14:paraId="75BE6E81">
      <w:pPr>
        <w:ind w:firstLine="596" w:firstLineChars="198"/>
        <w:rPr>
          <w:rFonts w:ascii="仿宋_GB2312" w:eastAsia="仿宋_GB2312"/>
          <w:color w:val="auto"/>
          <w:sz w:val="30"/>
          <w:szCs w:val="30"/>
        </w:rPr>
      </w:pPr>
      <w:r>
        <w:rPr>
          <w:rFonts w:hint="eastAsia" w:ascii="仿宋_GB2312" w:eastAsia="仿宋_GB2312"/>
          <w:b/>
          <w:color w:val="auto"/>
          <w:sz w:val="30"/>
          <w:szCs w:val="30"/>
        </w:rPr>
        <w:t>第九条</w:t>
      </w:r>
      <w:r>
        <w:rPr>
          <w:rFonts w:hint="eastAsia" w:ascii="仿宋_GB2312" w:eastAsia="仿宋_GB2312"/>
          <w:color w:val="auto"/>
          <w:sz w:val="30"/>
          <w:szCs w:val="30"/>
        </w:rPr>
        <w:t xml:space="preserve"> 学院成立学生综合测评工作小组（简称学院测评工作小组），由分管学生工作和教学工作的负责人、教师代表、辅导员、学生代表组成，指导全院的学生综合测评工作。</w:t>
      </w:r>
    </w:p>
    <w:p w14:paraId="7C21F34C">
      <w:pPr>
        <w:ind w:firstLine="600" w:firstLineChars="200"/>
        <w:rPr>
          <w:rFonts w:ascii="仿宋_GB2312" w:eastAsia="仿宋_GB2312"/>
          <w:color w:val="auto"/>
          <w:sz w:val="30"/>
          <w:szCs w:val="30"/>
        </w:rPr>
      </w:pPr>
      <w:r>
        <w:rPr>
          <w:rFonts w:hint="eastAsia" w:ascii="仿宋_GB2312" w:eastAsia="仿宋_GB2312"/>
          <w:color w:val="auto"/>
          <w:sz w:val="30"/>
          <w:szCs w:val="30"/>
        </w:rPr>
        <w:t>综合测评以班级为单位，由辅导员具体组织实施。各学生班级成立综合测评评议小组（简称班级评议小组）。班级评议小组由辅导员和民主推荐的学生代表（学生干部、寝室长、普通同学）组成，一般为 7 至11 人。班级评议小组应认真核查本班同学各方面的成绩得分、加分和减分，统计综合测评成绩。学生在日常学习与实践过程中，应将自己各方面的表现和参加就业创业、创新创造、文体艺术、社会实践等方面的活动及取得的成绩、荣誉应如实向班级评审小组提供。</w:t>
      </w:r>
    </w:p>
    <w:p w14:paraId="3E07FBE0">
      <w:pPr>
        <w:ind w:firstLine="602" w:firstLineChars="200"/>
        <w:rPr>
          <w:rFonts w:ascii="仿宋_GB2312" w:eastAsia="仿宋_GB2312"/>
          <w:color w:val="auto"/>
          <w:sz w:val="30"/>
          <w:szCs w:val="30"/>
        </w:rPr>
      </w:pPr>
      <w:r>
        <w:rPr>
          <w:rFonts w:hint="eastAsia" w:ascii="仿宋_GB2312" w:eastAsia="仿宋_GB2312"/>
          <w:b/>
          <w:color w:val="auto"/>
          <w:sz w:val="30"/>
          <w:szCs w:val="30"/>
        </w:rPr>
        <w:t>第十条</w:t>
      </w:r>
      <w:r>
        <w:rPr>
          <w:rFonts w:hint="eastAsia" w:ascii="仿宋_GB2312" w:eastAsia="仿宋_GB2312"/>
          <w:color w:val="auto"/>
          <w:sz w:val="30"/>
          <w:szCs w:val="30"/>
        </w:rPr>
        <w:t xml:space="preserve"> 学生综合测评每学年进行一次，在新学年开学后对学生上一学年度表现开展综合测评。</w:t>
      </w:r>
    </w:p>
    <w:p w14:paraId="553186E1">
      <w:pPr>
        <w:ind w:firstLine="600" w:firstLineChars="200"/>
        <w:rPr>
          <w:rFonts w:ascii="仿宋_GB2312" w:eastAsia="仿宋_GB2312"/>
          <w:color w:val="auto"/>
          <w:sz w:val="30"/>
          <w:szCs w:val="30"/>
        </w:rPr>
      </w:pPr>
      <w:r>
        <w:rPr>
          <w:rFonts w:hint="eastAsia" w:ascii="仿宋_GB2312" w:eastAsia="仿宋_GB2312"/>
          <w:color w:val="auto"/>
          <w:sz w:val="30"/>
          <w:szCs w:val="30"/>
        </w:rPr>
        <w:t>毕业班不进行毕业学年度的综合测评，开展品学兼优毕业生评选。</w:t>
      </w:r>
    </w:p>
    <w:p w14:paraId="28997B5E">
      <w:pPr>
        <w:ind w:firstLine="596" w:firstLineChars="198"/>
        <w:rPr>
          <w:rFonts w:ascii="仿宋_GB2312" w:eastAsia="仿宋_GB2312"/>
          <w:color w:val="auto"/>
          <w:sz w:val="30"/>
          <w:szCs w:val="30"/>
        </w:rPr>
      </w:pPr>
      <w:r>
        <w:rPr>
          <w:rFonts w:hint="eastAsia" w:ascii="仿宋_GB2312" w:eastAsia="仿宋_GB2312"/>
          <w:b/>
          <w:color w:val="auto"/>
          <w:sz w:val="30"/>
          <w:szCs w:val="30"/>
        </w:rPr>
        <w:t>第十一条</w:t>
      </w:r>
      <w:r>
        <w:rPr>
          <w:rFonts w:hint="eastAsia" w:ascii="仿宋_GB2312" w:eastAsia="仿宋_GB2312"/>
          <w:color w:val="auto"/>
          <w:sz w:val="30"/>
          <w:szCs w:val="30"/>
        </w:rPr>
        <w:t xml:space="preserve"> 综合测评按个人自评、班级评议、辅导员审核、学院测评工作小组复核和批准、学生工作处备案等程序进行。</w:t>
      </w:r>
    </w:p>
    <w:p w14:paraId="0AAFC285">
      <w:pPr>
        <w:ind w:firstLine="600" w:firstLineChars="200"/>
        <w:rPr>
          <w:rFonts w:ascii="仿宋_GB2312" w:eastAsia="仿宋_GB2312"/>
          <w:color w:val="auto"/>
          <w:sz w:val="30"/>
          <w:szCs w:val="30"/>
        </w:rPr>
      </w:pPr>
      <w:r>
        <w:rPr>
          <w:rFonts w:hint="eastAsia" w:ascii="仿宋_GB2312" w:eastAsia="仿宋_GB2312"/>
          <w:color w:val="auto"/>
          <w:sz w:val="30"/>
          <w:szCs w:val="30"/>
        </w:rPr>
        <w:t>1、学生本人根据测评标准进行自评，列出自评分、加分、减分项目，填写《安庆师范学院学生素质综合测评个人学年总结》《安庆师范大学学生素质综合测评基本素质和</w:t>
      </w:r>
      <w:r>
        <w:rPr>
          <w:rFonts w:hint="eastAsia" w:ascii="仿宋_GB2312" w:eastAsia="仿宋_GB2312"/>
          <w:color w:val="auto"/>
          <w:sz w:val="30"/>
          <w:szCs w:val="30"/>
          <w:lang w:eastAsia="zh-CN"/>
        </w:rPr>
        <w:t>能力素质</w:t>
      </w:r>
      <w:r>
        <w:rPr>
          <w:rFonts w:hint="eastAsia" w:ascii="仿宋_GB2312" w:eastAsia="仿宋_GB2312"/>
          <w:color w:val="auto"/>
          <w:sz w:val="30"/>
          <w:szCs w:val="30"/>
        </w:rPr>
        <w:t>测评表》，并提供相关证明材料，提交班级评议小组。</w:t>
      </w:r>
    </w:p>
    <w:p w14:paraId="5AED2B36">
      <w:pPr>
        <w:ind w:firstLine="600" w:firstLineChars="200"/>
        <w:rPr>
          <w:rFonts w:ascii="仿宋_GB2312" w:eastAsia="仿宋_GB2312"/>
          <w:color w:val="auto"/>
          <w:sz w:val="30"/>
          <w:szCs w:val="30"/>
        </w:rPr>
      </w:pPr>
      <w:r>
        <w:rPr>
          <w:rFonts w:hint="eastAsia" w:ascii="仿宋_GB2312" w:eastAsia="仿宋_GB2312"/>
          <w:color w:val="auto"/>
          <w:sz w:val="30"/>
          <w:szCs w:val="30"/>
        </w:rPr>
        <w:t>2、辅导员主持班级评议小组会议，对学生提交的个人自评材料进行评审，结合学生平时表现、日常记录和民主评议情况对班级学生形成评价意见，并填写《安庆师范大学学生素质综合评价表》和《安庆师范大学学生素质综合测评成绩汇总表》。</w:t>
      </w:r>
    </w:p>
    <w:p w14:paraId="7B3C3649">
      <w:pPr>
        <w:ind w:firstLine="600" w:firstLineChars="200"/>
        <w:rPr>
          <w:rFonts w:ascii="仿宋_GB2312" w:eastAsia="仿宋_GB2312"/>
          <w:color w:val="auto"/>
          <w:sz w:val="30"/>
          <w:szCs w:val="30"/>
        </w:rPr>
      </w:pPr>
      <w:r>
        <w:rPr>
          <w:rFonts w:hint="eastAsia" w:ascii="仿宋_GB2312" w:eastAsia="仿宋_GB2312"/>
          <w:color w:val="auto"/>
          <w:sz w:val="30"/>
          <w:szCs w:val="30"/>
        </w:rPr>
        <w:t>3、班级评议小组将测评结果在班级公示 3 个工作日，无异议后报学院审核、批准。学生如对测评结果有异议，须在公示期内向班级评议小组乃至学院测评工作小组提请复议。经复议后，测评结果如有更改，应再次公示更改后的结果。</w:t>
      </w:r>
    </w:p>
    <w:p w14:paraId="42C7DBD0">
      <w:pPr>
        <w:ind w:firstLine="600" w:firstLineChars="200"/>
        <w:rPr>
          <w:rFonts w:ascii="仿宋_GB2312" w:eastAsia="仿宋_GB2312"/>
          <w:color w:val="auto"/>
          <w:sz w:val="30"/>
          <w:szCs w:val="30"/>
        </w:rPr>
      </w:pPr>
      <w:r>
        <w:rPr>
          <w:rFonts w:hint="eastAsia" w:ascii="仿宋_GB2312" w:eastAsia="仿宋_GB2312"/>
          <w:color w:val="auto"/>
          <w:sz w:val="30"/>
          <w:szCs w:val="30"/>
        </w:rPr>
        <w:t>4、学院将最终综合测评结果报学校学生工作处备案。</w:t>
      </w:r>
    </w:p>
    <w:p w14:paraId="7287CE59">
      <w:pPr>
        <w:ind w:firstLine="602" w:firstLineChars="200"/>
        <w:rPr>
          <w:rFonts w:ascii="仿宋_GB2312" w:eastAsia="仿宋_GB2312"/>
          <w:color w:val="auto"/>
          <w:sz w:val="30"/>
          <w:szCs w:val="30"/>
        </w:rPr>
      </w:pPr>
      <w:r>
        <w:rPr>
          <w:rFonts w:hint="eastAsia" w:ascii="仿宋_GB2312" w:eastAsia="仿宋_GB2312"/>
          <w:b/>
          <w:color w:val="auto"/>
          <w:sz w:val="30"/>
          <w:szCs w:val="30"/>
        </w:rPr>
        <w:t>第十二条</w:t>
      </w:r>
      <w:r>
        <w:rPr>
          <w:rFonts w:hint="eastAsia" w:ascii="仿宋_GB2312" w:eastAsia="仿宋_GB2312"/>
          <w:color w:val="auto"/>
          <w:sz w:val="30"/>
          <w:szCs w:val="30"/>
        </w:rPr>
        <w:t xml:space="preserve"> 转专业学生在转入班级参加综合测评，原专业学业成绩原则上计入智育素质成绩。因病、入伍、创业等原因保留学籍或休学后复学的学生，在复学班级参加综合测评。因自身其他原因不能正常毕业而延长学习年限、未明确编入班级的学生，延长年限期间不参加综合测评。</w:t>
      </w:r>
    </w:p>
    <w:p w14:paraId="2AB80D6A">
      <w:pPr>
        <w:jc w:val="center"/>
        <w:rPr>
          <w:rFonts w:ascii="黑体" w:hAnsi="黑体" w:eastAsia="黑体"/>
          <w:color w:val="auto"/>
          <w:sz w:val="30"/>
          <w:szCs w:val="30"/>
        </w:rPr>
      </w:pPr>
    </w:p>
    <w:p w14:paraId="5F88F51A">
      <w:pPr>
        <w:jc w:val="center"/>
        <w:rPr>
          <w:rFonts w:ascii="黑体" w:hAnsi="黑体" w:eastAsia="黑体"/>
          <w:color w:val="auto"/>
          <w:sz w:val="30"/>
          <w:szCs w:val="30"/>
        </w:rPr>
      </w:pPr>
      <w:r>
        <w:rPr>
          <w:rFonts w:hint="eastAsia" w:ascii="黑体" w:hAnsi="黑体" w:eastAsia="黑体"/>
          <w:color w:val="auto"/>
          <w:sz w:val="30"/>
          <w:szCs w:val="30"/>
        </w:rPr>
        <w:t>第四章</w:t>
      </w:r>
      <w:r>
        <w:rPr>
          <w:rFonts w:hint="eastAsia" w:ascii="黑体" w:hAnsi="黑体" w:eastAsia="黑体"/>
          <w:color w:val="auto"/>
          <w:sz w:val="30"/>
          <w:szCs w:val="30"/>
        </w:rPr>
        <w:tab/>
      </w:r>
      <w:r>
        <w:rPr>
          <w:rFonts w:hint="eastAsia" w:ascii="黑体" w:hAnsi="黑体" w:eastAsia="黑体"/>
          <w:color w:val="auto"/>
          <w:sz w:val="30"/>
          <w:szCs w:val="30"/>
        </w:rPr>
        <w:t>附</w:t>
      </w:r>
      <w:r>
        <w:rPr>
          <w:rFonts w:hint="eastAsia" w:ascii="黑体" w:hAnsi="黑体" w:eastAsia="黑体"/>
          <w:color w:val="auto"/>
          <w:sz w:val="30"/>
          <w:szCs w:val="30"/>
        </w:rPr>
        <w:tab/>
      </w:r>
      <w:r>
        <w:rPr>
          <w:rFonts w:hint="eastAsia" w:ascii="黑体" w:hAnsi="黑体" w:eastAsia="黑体"/>
          <w:color w:val="auto"/>
          <w:sz w:val="30"/>
          <w:szCs w:val="30"/>
        </w:rPr>
        <w:t>则</w:t>
      </w:r>
    </w:p>
    <w:p w14:paraId="5CAA86D0">
      <w:pPr>
        <w:ind w:firstLine="602" w:firstLineChars="200"/>
        <w:rPr>
          <w:rFonts w:ascii="仿宋_GB2312" w:eastAsia="仿宋_GB2312"/>
          <w:color w:val="auto"/>
          <w:sz w:val="30"/>
          <w:szCs w:val="30"/>
        </w:rPr>
      </w:pPr>
      <w:r>
        <w:rPr>
          <w:rFonts w:hint="eastAsia" w:ascii="仿宋_GB2312" w:eastAsia="仿宋_GB2312"/>
          <w:b/>
          <w:color w:val="auto"/>
          <w:sz w:val="30"/>
          <w:szCs w:val="30"/>
        </w:rPr>
        <w:t>第十三条</w:t>
      </w:r>
      <w:r>
        <w:rPr>
          <w:rFonts w:hint="eastAsia" w:ascii="仿宋_GB2312" w:eastAsia="仿宋_GB2312"/>
          <w:color w:val="auto"/>
          <w:sz w:val="30"/>
          <w:szCs w:val="30"/>
        </w:rPr>
        <w:t xml:space="preserve"> 学学生在申报时必须如实填写相关材料，一经查实有弄虚作假行为，取消其评奖评优资格，将其失信行为记入诚信档案，并给予批评教育，情节严重者给予纪律处分。</w:t>
      </w:r>
    </w:p>
    <w:p w14:paraId="627A8879">
      <w:pPr>
        <w:ind w:firstLine="596" w:firstLineChars="198"/>
        <w:rPr>
          <w:rFonts w:ascii="仿宋_GB2312" w:eastAsia="仿宋_GB2312"/>
          <w:color w:val="auto"/>
          <w:sz w:val="30"/>
          <w:szCs w:val="30"/>
        </w:rPr>
      </w:pPr>
      <w:r>
        <w:rPr>
          <w:rFonts w:hint="eastAsia" w:ascii="仿宋_GB2312" w:eastAsia="仿宋_GB2312"/>
          <w:b/>
          <w:color w:val="auto"/>
          <w:sz w:val="30"/>
          <w:szCs w:val="30"/>
        </w:rPr>
        <w:t>第十四条</w:t>
      </w:r>
      <w:r>
        <w:rPr>
          <w:rFonts w:hint="eastAsia" w:ascii="仿宋_GB2312" w:eastAsia="仿宋_GB2312"/>
          <w:color w:val="auto"/>
          <w:sz w:val="30"/>
          <w:szCs w:val="30"/>
        </w:rPr>
        <w:t xml:space="preserve"> 本实施细则经学院办公会议研究通过后上网公开，上报学校学生工作处备案。</w:t>
      </w:r>
    </w:p>
    <w:p w14:paraId="422C6354">
      <w:pPr>
        <w:ind w:firstLine="596" w:firstLineChars="198"/>
        <w:rPr>
          <w:rFonts w:ascii="仿宋_GB2312" w:eastAsia="仿宋_GB2312"/>
          <w:color w:val="auto"/>
          <w:sz w:val="30"/>
          <w:szCs w:val="30"/>
        </w:rPr>
      </w:pPr>
      <w:r>
        <w:rPr>
          <w:rFonts w:hint="eastAsia" w:ascii="仿宋_GB2312" w:eastAsia="仿宋_GB2312"/>
          <w:b/>
          <w:color w:val="auto"/>
          <w:sz w:val="30"/>
          <w:szCs w:val="30"/>
        </w:rPr>
        <w:t>第十五条</w:t>
      </w:r>
      <w:r>
        <w:rPr>
          <w:rFonts w:hint="eastAsia" w:ascii="仿宋_GB2312" w:eastAsia="仿宋_GB2312"/>
          <w:b/>
          <w:color w:val="auto"/>
          <w:sz w:val="30"/>
          <w:szCs w:val="30"/>
        </w:rPr>
        <w:tab/>
      </w:r>
      <w:r>
        <w:rPr>
          <w:rFonts w:hint="eastAsia" w:ascii="仿宋_GB2312" w:eastAsia="仿宋_GB2312"/>
          <w:color w:val="auto"/>
          <w:sz w:val="30"/>
          <w:szCs w:val="30"/>
        </w:rPr>
        <w:t>本实施细则由化工专业学院负责解释。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5551532"/>
      <w:docPartObj>
        <w:docPartGallery w:val="autotext"/>
      </w:docPartObj>
    </w:sdtPr>
    <w:sdtContent>
      <w:sdt>
        <w:sdtPr>
          <w:id w:val="-1669238322"/>
          <w:docPartObj>
            <w:docPartGallery w:val="autotext"/>
          </w:docPartObj>
        </w:sdtPr>
        <w:sdtContent>
          <w:p w14:paraId="5EDE101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14:paraId="58F2F01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YzQxYTAzMWIyMGNlNDMxYzRhMDE5ZjE1MDEzZjIifQ=="/>
  </w:docVars>
  <w:rsids>
    <w:rsidRoot w:val="00F32ACE"/>
    <w:rsid w:val="001D3427"/>
    <w:rsid w:val="00214088"/>
    <w:rsid w:val="00220217"/>
    <w:rsid w:val="00397E0B"/>
    <w:rsid w:val="00E73A2F"/>
    <w:rsid w:val="00F32ACE"/>
    <w:rsid w:val="00FB1268"/>
    <w:rsid w:val="02D84EFD"/>
    <w:rsid w:val="0340785F"/>
    <w:rsid w:val="03A14B86"/>
    <w:rsid w:val="04A60F90"/>
    <w:rsid w:val="054C3DC9"/>
    <w:rsid w:val="0C5A2313"/>
    <w:rsid w:val="0E442F5A"/>
    <w:rsid w:val="11D01713"/>
    <w:rsid w:val="129F0AAB"/>
    <w:rsid w:val="131E5606"/>
    <w:rsid w:val="13F35A25"/>
    <w:rsid w:val="14AB3D8A"/>
    <w:rsid w:val="164A4AD2"/>
    <w:rsid w:val="197616AA"/>
    <w:rsid w:val="19A91C26"/>
    <w:rsid w:val="1A612CD6"/>
    <w:rsid w:val="1A9D7BBA"/>
    <w:rsid w:val="1CD22F7D"/>
    <w:rsid w:val="1F691002"/>
    <w:rsid w:val="21FD1E87"/>
    <w:rsid w:val="26297A06"/>
    <w:rsid w:val="262A5E80"/>
    <w:rsid w:val="27105A77"/>
    <w:rsid w:val="27B54380"/>
    <w:rsid w:val="2C8A18F9"/>
    <w:rsid w:val="2CAD4DE7"/>
    <w:rsid w:val="334F3A78"/>
    <w:rsid w:val="34321301"/>
    <w:rsid w:val="345337B9"/>
    <w:rsid w:val="34A202AA"/>
    <w:rsid w:val="34AC6BB1"/>
    <w:rsid w:val="37741153"/>
    <w:rsid w:val="384D6305"/>
    <w:rsid w:val="39587D67"/>
    <w:rsid w:val="3B92410B"/>
    <w:rsid w:val="3D571B2A"/>
    <w:rsid w:val="3FC415F9"/>
    <w:rsid w:val="45E71F71"/>
    <w:rsid w:val="47410C27"/>
    <w:rsid w:val="4E842323"/>
    <w:rsid w:val="4E962A9C"/>
    <w:rsid w:val="53622A9C"/>
    <w:rsid w:val="55F528C3"/>
    <w:rsid w:val="58482E44"/>
    <w:rsid w:val="588F5B42"/>
    <w:rsid w:val="5D6E48CE"/>
    <w:rsid w:val="62FF376F"/>
    <w:rsid w:val="67A64B53"/>
    <w:rsid w:val="6A7929AC"/>
    <w:rsid w:val="6CCF1AF5"/>
    <w:rsid w:val="6F8451CE"/>
    <w:rsid w:val="78B17076"/>
    <w:rsid w:val="79124886"/>
    <w:rsid w:val="7A411056"/>
    <w:rsid w:val="7CED70EB"/>
    <w:rsid w:val="7D3033F9"/>
    <w:rsid w:val="7DC8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ind w:left="140"/>
      <w:jc w:val="left"/>
    </w:pPr>
    <w:rPr>
      <w:rFonts w:ascii="宋体" w:hAnsi="宋体" w:cs="宋体"/>
      <w:kern w:val="0"/>
      <w:sz w:val="32"/>
      <w:szCs w:val="32"/>
      <w:lang w:val="zh-CN" w:bidi="zh-CN"/>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autoRedefine/>
    <w:qFormat/>
    <w:uiPriority w:val="0"/>
    <w:rPr>
      <w:b/>
      <w:bCs/>
    </w:rPr>
  </w:style>
  <w:style w:type="paragraph" w:styleId="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Subtle Emphasis"/>
    <w:autoRedefine/>
    <w:qFormat/>
    <w:uiPriority w:val="0"/>
    <w:rPr>
      <w:i/>
      <w:iCs/>
      <w:color w:val="808080"/>
    </w:rPr>
  </w:style>
  <w:style w:type="character" w:customStyle="1" w:styleId="11">
    <w:name w:val="正文文本 Char"/>
    <w:basedOn w:val="7"/>
    <w:link w:val="2"/>
    <w:autoRedefine/>
    <w:qFormat/>
    <w:uiPriority w:val="1"/>
    <w:rPr>
      <w:rFonts w:ascii="宋体" w:hAnsi="宋体" w:cs="宋体"/>
      <w:sz w:val="32"/>
      <w:szCs w:val="32"/>
      <w:lang w:val="zh-CN" w:bidi="zh-CN"/>
    </w:rPr>
  </w:style>
  <w:style w:type="paragraph" w:customStyle="1" w:styleId="12">
    <w:name w:val="Table Paragraph"/>
    <w:basedOn w:val="1"/>
    <w:qFormat/>
    <w:uiPriority w:val="1"/>
    <w:pPr>
      <w:autoSpaceDE w:val="0"/>
      <w:autoSpaceDN w:val="0"/>
      <w:spacing w:before="53"/>
      <w:jc w:val="right"/>
    </w:pPr>
    <w:rPr>
      <w:rFonts w:ascii="宋体" w:hAnsi="宋体" w:cs="宋体"/>
      <w:kern w:val="0"/>
      <w:sz w:val="22"/>
      <w:szCs w:val="22"/>
      <w:lang w:val="zh-CN" w:bidi="zh-CN"/>
    </w:rPr>
  </w:style>
  <w:style w:type="character" w:customStyle="1" w:styleId="13">
    <w:name w:val="批注框文本 Char"/>
    <w:basedOn w:val="7"/>
    <w:link w:val="3"/>
    <w:autoRedefine/>
    <w:semiHidden/>
    <w:qFormat/>
    <w:uiPriority w:val="99"/>
    <w:rPr>
      <w:kern w:val="2"/>
      <w:sz w:val="18"/>
      <w:szCs w:val="18"/>
    </w:rPr>
  </w:style>
  <w:style w:type="character" w:customStyle="1" w:styleId="14">
    <w:name w:val="页眉 Char"/>
    <w:basedOn w:val="7"/>
    <w:link w:val="5"/>
    <w:autoRedefine/>
    <w:qFormat/>
    <w:uiPriority w:val="99"/>
    <w:rPr>
      <w:kern w:val="2"/>
      <w:sz w:val="18"/>
      <w:szCs w:val="18"/>
    </w:rPr>
  </w:style>
  <w:style w:type="character" w:customStyle="1" w:styleId="15">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6994</Words>
  <Characters>7162</Characters>
  <Lines>53</Lines>
  <Paragraphs>15</Paragraphs>
  <TotalTime>76</TotalTime>
  <ScaleCrop>false</ScaleCrop>
  <LinksUpToDate>false</LinksUpToDate>
  <CharactersWithSpaces>7450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2022-11-28T07:12:00Z</dcterms:created>
  <dc:creator>User</dc:creator>
  <cp:lastModifiedBy>走走停停</cp:lastModifiedBy>
  <cp:lastPrinted>2022-11-28T07:43:00Z</cp:lastPrinted>
  <dcterms:modified xsi:type="dcterms:W3CDTF">2024-10-23T00:25:45Z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207298CBCEC348A8ABBB6E94F4716037_13</vt:lpwstr>
  </property>
</Properties>
</file>